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B5860" w14:textId="77777777" w:rsidR="00580DCE" w:rsidRPr="00B24F73" w:rsidRDefault="00580DCE" w:rsidP="005A0AAD">
      <w:pPr>
        <w:rPr>
          <w:rFonts w:ascii="Lato" w:hAnsi="Lato"/>
          <w:color w:val="000000" w:themeColor="text1"/>
          <w:u w:val="single"/>
        </w:rPr>
      </w:pPr>
    </w:p>
    <w:p w14:paraId="0F0A493B" w14:textId="77777777" w:rsidR="003D56F3" w:rsidRPr="00B24F73" w:rsidRDefault="005A0AAD" w:rsidP="00E71D6A">
      <w:pPr>
        <w:spacing w:after="0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Załącznik</w:t>
      </w:r>
      <w:r w:rsidR="009B73B0" w:rsidRPr="00B24F73">
        <w:rPr>
          <w:rFonts w:ascii="Lato" w:hAnsi="Lato"/>
          <w:b/>
          <w:bCs/>
          <w:color w:val="000000" w:themeColor="text1"/>
        </w:rPr>
        <w:t xml:space="preserve"> nr</w:t>
      </w:r>
      <w:r w:rsidRPr="00B24F73">
        <w:rPr>
          <w:rFonts w:ascii="Lato" w:hAnsi="Lato"/>
          <w:b/>
          <w:bCs/>
          <w:color w:val="000000" w:themeColor="text1"/>
        </w:rPr>
        <w:t xml:space="preserve"> 1</w:t>
      </w:r>
      <w:r w:rsidRPr="00B24F73">
        <w:rPr>
          <w:rFonts w:ascii="Lato" w:hAnsi="Lato"/>
          <w:color w:val="000000" w:themeColor="text1"/>
        </w:rPr>
        <w:t xml:space="preserve"> </w:t>
      </w:r>
    </w:p>
    <w:p w14:paraId="17046035" w14:textId="2ED7DA62" w:rsidR="00E71D6A" w:rsidRPr="00B24F73" w:rsidRDefault="005A0AAD" w:rsidP="00E71D6A">
      <w:pPr>
        <w:spacing w:after="0"/>
        <w:jc w:val="both"/>
        <w:rPr>
          <w:rFonts w:ascii="Lato" w:hAnsi="Lato"/>
          <w:color w:val="000000" w:themeColor="text1"/>
          <w:sz w:val="20"/>
          <w:szCs w:val="20"/>
        </w:rPr>
      </w:pPr>
      <w:r w:rsidRPr="00B24F73">
        <w:rPr>
          <w:rFonts w:ascii="Lato" w:hAnsi="Lato"/>
          <w:color w:val="000000" w:themeColor="text1"/>
          <w:sz w:val="20"/>
          <w:szCs w:val="20"/>
        </w:rPr>
        <w:t>do Wytycznych dotyczących kwalifikowalności wydatków</w:t>
      </w:r>
      <w:r w:rsidR="00E71D6A" w:rsidRPr="00B24F73">
        <w:rPr>
          <w:rFonts w:ascii="Lato" w:hAnsi="Lato"/>
          <w:color w:val="000000" w:themeColor="text1"/>
          <w:sz w:val="20"/>
          <w:szCs w:val="20"/>
        </w:rPr>
        <w:t xml:space="preserve"> finansowanych</w:t>
      </w:r>
      <w:r w:rsidR="00DB6465" w:rsidRPr="00B24F73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E71D6A" w:rsidRPr="00B24F73">
        <w:rPr>
          <w:rFonts w:ascii="Lato" w:hAnsi="Lato"/>
          <w:color w:val="000000" w:themeColor="text1"/>
          <w:sz w:val="20"/>
          <w:szCs w:val="20"/>
        </w:rPr>
        <w:t>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</w:t>
      </w:r>
      <w:r w:rsidR="003D03FB">
        <w:rPr>
          <w:rStyle w:val="Odwoanieprzypisudolnego"/>
          <w:rFonts w:ascii="Lato" w:hAnsi="Lato"/>
          <w:color w:val="000000" w:themeColor="text1"/>
          <w:sz w:val="20"/>
          <w:szCs w:val="20"/>
        </w:rPr>
        <w:footnoteReference w:id="1"/>
      </w:r>
      <w:r w:rsidR="003D03FB">
        <w:rPr>
          <w:rFonts w:ascii="Lato" w:hAnsi="Lato"/>
          <w:color w:val="000000" w:themeColor="text1"/>
          <w:sz w:val="20"/>
          <w:szCs w:val="20"/>
        </w:rPr>
        <w:t xml:space="preserve"> </w:t>
      </w:r>
    </w:p>
    <w:p w14:paraId="39686623" w14:textId="77777777" w:rsidR="00742070" w:rsidRPr="00B24F73" w:rsidRDefault="00742070" w:rsidP="00E71D6A">
      <w:pPr>
        <w:spacing w:after="0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7F30F1D5" w14:textId="77777777" w:rsidR="001E2886" w:rsidRPr="00B24F73" w:rsidRDefault="001E2886" w:rsidP="00E71D6A">
      <w:pPr>
        <w:spacing w:after="0"/>
        <w:jc w:val="both"/>
        <w:rPr>
          <w:rFonts w:ascii="Lato" w:hAnsi="Lato"/>
          <w:color w:val="000000" w:themeColor="text1"/>
        </w:rPr>
      </w:pPr>
    </w:p>
    <w:p w14:paraId="5BB4ABB0" w14:textId="5717B858" w:rsidR="005A0AAD" w:rsidRPr="00B24F73" w:rsidRDefault="005A0AAD" w:rsidP="00F42D58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Procedura przeprowadzania postępowania o zamówienie publiczne zgodnie z zasadą konkurencyjności</w:t>
      </w:r>
      <w:r w:rsidR="00A434B0">
        <w:rPr>
          <w:rFonts w:ascii="Lato" w:hAnsi="Lato"/>
          <w:b/>
          <w:bCs/>
          <w:color w:val="000000" w:themeColor="text1"/>
        </w:rPr>
        <w:t xml:space="preserve"> </w:t>
      </w:r>
      <w:r w:rsidR="00B95A50">
        <w:rPr>
          <w:rFonts w:ascii="Lato" w:hAnsi="Lato"/>
          <w:b/>
          <w:bCs/>
          <w:color w:val="000000" w:themeColor="text1"/>
        </w:rPr>
        <w:t>(dalej: Procedura)</w:t>
      </w:r>
    </w:p>
    <w:p w14:paraId="2489668C" w14:textId="77777777" w:rsidR="005A0AAD" w:rsidRPr="00B24F73" w:rsidRDefault="005A0AAD" w:rsidP="00220C70">
      <w:pPr>
        <w:jc w:val="center"/>
        <w:rPr>
          <w:rFonts w:ascii="Lato" w:hAnsi="Lato"/>
          <w:b/>
          <w:bCs/>
          <w:color w:val="000000" w:themeColor="text1"/>
        </w:rPr>
      </w:pPr>
    </w:p>
    <w:p w14:paraId="1C486996" w14:textId="7D82F8A2" w:rsidR="00220C70" w:rsidRPr="00B24F73" w:rsidRDefault="00220C70" w:rsidP="00F42D58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1</w:t>
      </w:r>
    </w:p>
    <w:p w14:paraId="2107531F" w14:textId="77777777" w:rsidR="00220C70" w:rsidRPr="00B24F73" w:rsidRDefault="00220C70" w:rsidP="00DB6465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Zasady ogólne</w:t>
      </w:r>
    </w:p>
    <w:p w14:paraId="486A9D60" w14:textId="4D578D87" w:rsidR="00220C70" w:rsidRPr="003C6CFF" w:rsidRDefault="00220C70" w:rsidP="003C6CFF">
      <w:pPr>
        <w:pStyle w:val="Akapitzlist"/>
        <w:numPr>
          <w:ilvl w:val="0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Zasada konkurencyjności określa minimalne </w:t>
      </w:r>
      <w:r w:rsidR="00B95A50">
        <w:rPr>
          <w:rFonts w:ascii="Lato" w:hAnsi="Lato"/>
          <w:color w:val="000000" w:themeColor="text1"/>
        </w:rPr>
        <w:t xml:space="preserve">wymagania dotyczące </w:t>
      </w:r>
      <w:r w:rsidR="00C058CD">
        <w:rPr>
          <w:rFonts w:ascii="Lato" w:hAnsi="Lato"/>
          <w:color w:val="000000" w:themeColor="text1"/>
        </w:rPr>
        <w:t xml:space="preserve">zasad </w:t>
      </w:r>
      <w:r w:rsidR="00A06224">
        <w:rPr>
          <w:rFonts w:ascii="Lato" w:hAnsi="Lato"/>
          <w:color w:val="000000" w:themeColor="text1"/>
        </w:rPr>
        <w:t>udzielania zamówień</w:t>
      </w:r>
      <w:r w:rsidR="00C058CD">
        <w:rPr>
          <w:rFonts w:ascii="Lato" w:hAnsi="Lato"/>
          <w:color w:val="000000" w:themeColor="text1"/>
        </w:rPr>
        <w:t xml:space="preserve"> </w:t>
      </w:r>
      <w:r w:rsidR="00B95A50">
        <w:rPr>
          <w:rFonts w:ascii="Lato" w:hAnsi="Lato"/>
          <w:color w:val="000000" w:themeColor="text1"/>
        </w:rPr>
        <w:t xml:space="preserve">  </w:t>
      </w:r>
      <w:r w:rsidRPr="00B24F73">
        <w:rPr>
          <w:rFonts w:ascii="Lato" w:hAnsi="Lato"/>
          <w:color w:val="000000" w:themeColor="text1"/>
        </w:rPr>
        <w:t xml:space="preserve"> jakie muszą zostać spełnione dla uznania </w:t>
      </w:r>
      <w:r w:rsidR="00B25A74" w:rsidRPr="00B24F73">
        <w:rPr>
          <w:rFonts w:ascii="Lato" w:hAnsi="Lato"/>
          <w:color w:val="000000" w:themeColor="text1"/>
        </w:rPr>
        <w:t>wydatków</w:t>
      </w:r>
      <w:r w:rsidRPr="00B24F73">
        <w:rPr>
          <w:rFonts w:ascii="Lato" w:hAnsi="Lato"/>
          <w:color w:val="000000" w:themeColor="text1"/>
        </w:rPr>
        <w:t xml:space="preserve"> za kwalifikowalne.</w:t>
      </w:r>
      <w:r w:rsidR="00A361C1" w:rsidRPr="003C6CFF">
        <w:rPr>
          <w:rFonts w:ascii="Lato" w:hAnsi="Lato"/>
          <w:color w:val="000000" w:themeColor="text1"/>
        </w:rPr>
        <w:t xml:space="preserve"> </w:t>
      </w:r>
    </w:p>
    <w:p w14:paraId="3D243ADA" w14:textId="267FE9B1" w:rsidR="00220C70" w:rsidRPr="00B24F73" w:rsidRDefault="00220C70" w:rsidP="00F42D58">
      <w:pPr>
        <w:pStyle w:val="Akapitzlist"/>
        <w:numPr>
          <w:ilvl w:val="0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Zasady konkurencyjności nie stosuje się do:</w:t>
      </w:r>
    </w:p>
    <w:p w14:paraId="31F281E8" w14:textId="6AD4ACDA" w:rsidR="00220C70" w:rsidRPr="00B24F73" w:rsidRDefault="00220C70" w:rsidP="00F42D58">
      <w:pPr>
        <w:pStyle w:val="Akapitzlist"/>
        <w:numPr>
          <w:ilvl w:val="1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zamówień udzielanych na podstawie ustawy z dnia 11 września 2019 r. - Prawo zamówień publicznych </w:t>
      </w:r>
      <w:r w:rsidR="00F20693" w:rsidRPr="00B24F73">
        <w:rPr>
          <w:rFonts w:ascii="Lato" w:hAnsi="Lato"/>
          <w:color w:val="000000" w:themeColor="text1"/>
        </w:rPr>
        <w:t>(Dz. U. z 2024  r. poz. 1320), zwan</w:t>
      </w:r>
      <w:r w:rsidR="004130F4" w:rsidRPr="00B24F73">
        <w:rPr>
          <w:rFonts w:ascii="Lato" w:hAnsi="Lato"/>
          <w:color w:val="000000" w:themeColor="text1"/>
        </w:rPr>
        <w:t>ej</w:t>
      </w:r>
      <w:r w:rsidR="00F20693" w:rsidRPr="00B24F73">
        <w:rPr>
          <w:rFonts w:ascii="Lato" w:hAnsi="Lato"/>
          <w:color w:val="000000" w:themeColor="text1"/>
        </w:rPr>
        <w:t xml:space="preserve"> dalej „PZP”; </w:t>
      </w:r>
    </w:p>
    <w:p w14:paraId="3F6E6A69" w14:textId="71F2C6E3" w:rsidR="00220C70" w:rsidRPr="00B24F73" w:rsidRDefault="00220C70" w:rsidP="00F42D58">
      <w:pPr>
        <w:pStyle w:val="Akapitzlist"/>
        <w:numPr>
          <w:ilvl w:val="1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zamówień, których wartość nie przekracza kwoty</w:t>
      </w:r>
      <w:r w:rsidR="00303DEC">
        <w:rPr>
          <w:rFonts w:ascii="Lato" w:hAnsi="Lato"/>
          <w:color w:val="000000" w:themeColor="text1"/>
        </w:rPr>
        <w:t xml:space="preserve"> </w:t>
      </w:r>
      <w:r w:rsidR="0093559F">
        <w:rPr>
          <w:rFonts w:ascii="Lato" w:hAnsi="Lato"/>
          <w:color w:val="000000" w:themeColor="text1"/>
        </w:rPr>
        <w:t>80</w:t>
      </w:r>
      <w:r w:rsidRPr="00B24F73">
        <w:rPr>
          <w:rFonts w:ascii="Lato" w:hAnsi="Lato"/>
          <w:color w:val="000000" w:themeColor="text1"/>
        </w:rPr>
        <w:t>.000 zł netto</w:t>
      </w:r>
      <w:r w:rsidR="001C266C" w:rsidRPr="00B24F73">
        <w:rPr>
          <w:rFonts w:ascii="Lato" w:hAnsi="Lato"/>
          <w:color w:val="000000" w:themeColor="text1"/>
        </w:rPr>
        <w:t>;</w:t>
      </w:r>
    </w:p>
    <w:p w14:paraId="013C4911" w14:textId="7FA51A8B" w:rsidR="001C266C" w:rsidRPr="00B24F73" w:rsidRDefault="001C266C" w:rsidP="00F42D58">
      <w:pPr>
        <w:pStyle w:val="Akapitzlist"/>
        <w:numPr>
          <w:ilvl w:val="1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zamówień, które mogą być objęte włączeniami stosowania zasady konkurencyjności w przypadkach wskazanych w § 6.</w:t>
      </w:r>
    </w:p>
    <w:p w14:paraId="09F522C7" w14:textId="4ABF88E2" w:rsidR="00220C70" w:rsidRPr="00B24F73" w:rsidRDefault="00220C70" w:rsidP="00F42D58">
      <w:pPr>
        <w:pStyle w:val="Akapitzlist"/>
        <w:numPr>
          <w:ilvl w:val="0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OOW</w:t>
      </w:r>
      <w:r w:rsidR="00156B3B" w:rsidRPr="00B24F73">
        <w:rPr>
          <w:rFonts w:ascii="Lato" w:hAnsi="Lato"/>
          <w:color w:val="000000" w:themeColor="text1"/>
        </w:rPr>
        <w:t xml:space="preserve"> przygotowuje i przeprowadza postępowanie o udzielenie zamówienia z</w:t>
      </w:r>
      <w:r w:rsidR="00F86AA1" w:rsidRPr="00B24F73">
        <w:rPr>
          <w:rFonts w:ascii="Lato" w:hAnsi="Lato"/>
          <w:color w:val="000000" w:themeColor="text1"/>
        </w:rPr>
        <w:t> </w:t>
      </w:r>
      <w:r w:rsidR="00156B3B" w:rsidRPr="00B24F73">
        <w:rPr>
          <w:rFonts w:ascii="Lato" w:hAnsi="Lato"/>
          <w:color w:val="000000" w:themeColor="text1"/>
        </w:rPr>
        <w:t>uwzględnieniem zasady konkurencyjności</w:t>
      </w:r>
      <w:r w:rsidR="00004366" w:rsidRPr="00B24F73">
        <w:rPr>
          <w:rFonts w:ascii="Lato" w:hAnsi="Lato"/>
          <w:color w:val="000000" w:themeColor="text1"/>
        </w:rPr>
        <w:t>, poprzez zachowanie uczciwej konkurencji oraz stosując zasadę przejrzystości postępowania oraz równego traktowania wykonawców.</w:t>
      </w:r>
      <w:r w:rsidR="00285A41" w:rsidRPr="00B24F73">
        <w:rPr>
          <w:rFonts w:ascii="Lato" w:hAnsi="Lato"/>
          <w:color w:val="000000" w:themeColor="text1"/>
        </w:rPr>
        <w:t xml:space="preserve"> Zasada równego traktowania wykonawców dotyczy wszystkich etapów postępowania, niedopuszczalne jest stosowanie przywilejów oraz środków dyskry</w:t>
      </w:r>
      <w:r w:rsidR="00F31139" w:rsidRPr="00B24F73">
        <w:rPr>
          <w:rFonts w:ascii="Lato" w:hAnsi="Lato"/>
          <w:color w:val="000000" w:themeColor="text1"/>
        </w:rPr>
        <w:t>minujących wykonawców. W celu zachowania uczciwej konkurencji i równego traktowania wykonawców zamawiający powinien unikać konflikt</w:t>
      </w:r>
      <w:r w:rsidR="00D511A3" w:rsidRPr="00B24F73">
        <w:rPr>
          <w:rFonts w:ascii="Lato" w:hAnsi="Lato"/>
          <w:color w:val="000000" w:themeColor="text1"/>
        </w:rPr>
        <w:t>ów</w:t>
      </w:r>
      <w:r w:rsidR="00F31139" w:rsidRPr="00B24F73">
        <w:rPr>
          <w:rFonts w:ascii="Lato" w:hAnsi="Lato"/>
          <w:color w:val="000000" w:themeColor="text1"/>
        </w:rPr>
        <w:t xml:space="preserve"> interesu. </w:t>
      </w:r>
    </w:p>
    <w:p w14:paraId="574DFB34" w14:textId="09C4ECAD" w:rsidR="0097683E" w:rsidRPr="00B24F73" w:rsidRDefault="0097683E" w:rsidP="00F42D58">
      <w:pPr>
        <w:pStyle w:val="Akapitzlist"/>
        <w:numPr>
          <w:ilvl w:val="0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Cena oferty nie może budzić wątpliwości co do prawidłowości wykonania przedmiotu zamówienia za zaoferowaną cenę tj. wątpliwości, że zamówienie nie zostanie wykonane zgodnie z bezwzględnie obowiązującymi przepisami prawa jak również, że zamówienie nie zostanie wykonane zgodnie z zasadami sztuki zawodowej. Cena oferty nie może być zarówno zaniżona jak i zawyżona. </w:t>
      </w:r>
    </w:p>
    <w:p w14:paraId="4806ECF3" w14:textId="7BAA3BFC" w:rsidR="00ED6F82" w:rsidRPr="00B24F73" w:rsidRDefault="00220C70" w:rsidP="00F42D58">
      <w:pPr>
        <w:pStyle w:val="Akapitzlist"/>
        <w:numPr>
          <w:ilvl w:val="0"/>
          <w:numId w:val="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Do czynności podejmowanych przez zamawiającego, wykonawców oraz uczestników postępowania o udzielenie zamówienia oraz umów w sprawach zamówień </w:t>
      </w:r>
      <w:r w:rsidR="0012291A" w:rsidRPr="00B24F73">
        <w:rPr>
          <w:rFonts w:ascii="Lato" w:hAnsi="Lato"/>
          <w:color w:val="000000" w:themeColor="text1"/>
        </w:rPr>
        <w:t xml:space="preserve">w ramach  </w:t>
      </w:r>
      <w:r w:rsidR="00A06224">
        <w:rPr>
          <w:rFonts w:ascii="Lato" w:hAnsi="Lato"/>
          <w:color w:val="000000" w:themeColor="text1"/>
        </w:rPr>
        <w:t>P</w:t>
      </w:r>
      <w:r w:rsidR="0012291A" w:rsidRPr="00B24F73">
        <w:rPr>
          <w:rFonts w:ascii="Lato" w:hAnsi="Lato"/>
          <w:color w:val="000000" w:themeColor="text1"/>
        </w:rPr>
        <w:t>rocedury</w:t>
      </w:r>
      <w:r w:rsidR="007E274F" w:rsidRPr="00B24F73">
        <w:rPr>
          <w:rFonts w:ascii="Lato" w:hAnsi="Lato"/>
          <w:color w:val="000000" w:themeColor="text1"/>
        </w:rPr>
        <w:t xml:space="preserve">, w sytuacjach nieopisanych </w:t>
      </w:r>
      <w:r w:rsidR="00A06224">
        <w:rPr>
          <w:rFonts w:ascii="Lato" w:hAnsi="Lato"/>
          <w:color w:val="000000" w:themeColor="text1"/>
        </w:rPr>
        <w:t>P</w:t>
      </w:r>
      <w:r w:rsidR="007E274F" w:rsidRPr="00B24F73">
        <w:rPr>
          <w:rFonts w:ascii="Lato" w:hAnsi="Lato"/>
          <w:color w:val="000000" w:themeColor="text1"/>
        </w:rPr>
        <w:t xml:space="preserve">rocedurą, </w:t>
      </w:r>
      <w:r w:rsidRPr="00B24F73">
        <w:rPr>
          <w:rFonts w:ascii="Lato" w:hAnsi="Lato"/>
          <w:color w:val="000000" w:themeColor="text1"/>
        </w:rPr>
        <w:t xml:space="preserve">stosuje się przepisy ustawy z dnia 23 kwietnia 1964 r. Kodeks cywilny </w:t>
      </w:r>
      <w:r w:rsidR="00B6469D" w:rsidRPr="00B24F73">
        <w:rPr>
          <w:rFonts w:ascii="Lato" w:hAnsi="Lato"/>
          <w:color w:val="000000" w:themeColor="text1"/>
        </w:rPr>
        <w:t>(Dz.U. z 2024 r. poz. 1061 z późn. zm.)</w:t>
      </w:r>
      <w:r w:rsidR="00010803">
        <w:rPr>
          <w:rStyle w:val="Odwoanieprzypisudolnego"/>
          <w:rFonts w:ascii="Lato" w:hAnsi="Lato"/>
          <w:color w:val="000000" w:themeColor="text1"/>
        </w:rPr>
        <w:footnoteReference w:id="2"/>
      </w:r>
      <w:r w:rsidR="00DB6465" w:rsidRPr="00B24F73">
        <w:rPr>
          <w:rFonts w:ascii="Lato" w:hAnsi="Lato"/>
          <w:color w:val="000000" w:themeColor="text1"/>
        </w:rPr>
        <w:t xml:space="preserve">. </w:t>
      </w:r>
    </w:p>
    <w:p w14:paraId="382FED32" w14:textId="77777777" w:rsidR="00220C70" w:rsidRPr="00B24F73" w:rsidRDefault="00220C70" w:rsidP="00F42D58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2</w:t>
      </w:r>
    </w:p>
    <w:p w14:paraId="21AB6D42" w14:textId="77777777" w:rsidR="00220C70" w:rsidRPr="00B24F73" w:rsidRDefault="00220C70" w:rsidP="00DB6465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Konflikt interesów</w:t>
      </w:r>
    </w:p>
    <w:p w14:paraId="5A4F0F98" w14:textId="06F02617" w:rsidR="00D75D9F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OOW podejmuje odpowiednie środki, aby skutecznie zapobiegać konfliktowi interesów, a także rozpoznawać i likwidować je, gdy powstają w związku z prowadzeniem </w:t>
      </w:r>
      <w:r w:rsidRPr="00B24F73">
        <w:rPr>
          <w:rFonts w:ascii="Lato" w:hAnsi="Lato"/>
          <w:color w:val="000000" w:themeColor="text1"/>
        </w:rPr>
        <w:lastRenderedPageBreak/>
        <w:t>postępowania o udzielenie zamówienia lub na etapie wykonywania zamówienia, by nie dopuścić do zakłócenia konkurencji oraz zapewnić równe traktowanie wykonawców.</w:t>
      </w:r>
    </w:p>
    <w:p w14:paraId="6420868D" w14:textId="6B8EE1CB" w:rsidR="00220C70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Konflikt interesów oznacza każdą sytuację, w której osoby biorące udział w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przygotowaniu lub prowadzeniu postępowania o udzielenie zamówienia lub mogące wpłynąć na wynik tego postępowania mają lub mogą mieć, bezpośrednio lub pośrednio, interes finansowy, ekonomiczny lub osobisty, który postrzegać można jako zagrażający ich bezstronności i niezależności w związku z postępowaniem o udzielenie zamówienia.</w:t>
      </w:r>
    </w:p>
    <w:p w14:paraId="1F5F7718" w14:textId="63791D42" w:rsidR="00220C70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celu uniknięcia konfliktu interesów, OOW nie może udzielać zamówień podmiotom powiązanym z nim osobowo lub kapitałowo. Przez powiązania osobowe i kapitałowe rozumie się:</w:t>
      </w:r>
    </w:p>
    <w:p w14:paraId="2C688DDD" w14:textId="1B38B749" w:rsidR="00220C70" w:rsidRPr="00B24F73" w:rsidRDefault="00220C70" w:rsidP="00F42D58">
      <w:pPr>
        <w:pStyle w:val="Akapitzlist"/>
        <w:numPr>
          <w:ilvl w:val="1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uczestniczenie w spółce jako wspólnik spółki cywilnej lub spółki osobowej;</w:t>
      </w:r>
    </w:p>
    <w:p w14:paraId="42172F53" w14:textId="192AE021" w:rsidR="00220C70" w:rsidRPr="00B24F73" w:rsidRDefault="00220C70" w:rsidP="00F42D58">
      <w:pPr>
        <w:pStyle w:val="Akapitzlist"/>
        <w:numPr>
          <w:ilvl w:val="1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posiadanie co najmniej 10% udziałów lub akcji (o ile niższy próg nie wynika z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przepisów prawa);</w:t>
      </w:r>
    </w:p>
    <w:p w14:paraId="0E7F6D67" w14:textId="7EFF20B0" w:rsidR="00220C70" w:rsidRPr="00B24F73" w:rsidRDefault="00220C70" w:rsidP="00F42D58">
      <w:pPr>
        <w:pStyle w:val="Akapitzlist"/>
        <w:numPr>
          <w:ilvl w:val="1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pełnienie funkcji członka organu nadzorczego lub zarządzającego, prokurenta, pełnomocnika;</w:t>
      </w:r>
    </w:p>
    <w:p w14:paraId="4994D19F" w14:textId="2A618BCD" w:rsidR="00220C70" w:rsidRPr="00B24F73" w:rsidRDefault="00220C70" w:rsidP="00F42D58">
      <w:pPr>
        <w:pStyle w:val="Akapitzlist"/>
        <w:numPr>
          <w:ilvl w:val="1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6D3AAC5B" w14:textId="7858E7F4" w:rsidR="00220C70" w:rsidRPr="00B24F73" w:rsidRDefault="00220C70" w:rsidP="00F42D58">
      <w:pPr>
        <w:pStyle w:val="Akapitzlist"/>
        <w:numPr>
          <w:ilvl w:val="1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pozostawanie z wykonawcą w takim stosunku prawnym lub faktycznym, że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istnieje uzasadniona wątpliwość co do ich bezstronności lub niezależności w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związku z postępowaniem o udzielenie zamówienia.</w:t>
      </w:r>
    </w:p>
    <w:p w14:paraId="7EF318F7" w14:textId="40D1C493" w:rsidR="00220C70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Zakazane są również pośrednie powiązania osobowe lub kapitałowe, </w:t>
      </w:r>
      <w:r w:rsidR="00434E35" w:rsidRPr="00B24F73">
        <w:rPr>
          <w:rFonts w:ascii="Lato" w:hAnsi="Lato"/>
          <w:color w:val="000000" w:themeColor="text1"/>
        </w:rPr>
        <w:t>przy czym zakaz ten znajduje zastosowanie</w:t>
      </w:r>
      <w:r w:rsidRPr="00B24F73">
        <w:rPr>
          <w:rFonts w:ascii="Lato" w:hAnsi="Lato"/>
          <w:color w:val="000000" w:themeColor="text1"/>
        </w:rPr>
        <w:t xml:space="preserve"> </w:t>
      </w:r>
      <w:r w:rsidR="00434E35" w:rsidRPr="00B24F73">
        <w:rPr>
          <w:rFonts w:ascii="Lato" w:hAnsi="Lato"/>
          <w:color w:val="000000" w:themeColor="text1"/>
        </w:rPr>
        <w:t>w przypadku, gdy</w:t>
      </w:r>
      <w:r w:rsidRPr="00B24F73">
        <w:rPr>
          <w:rFonts w:ascii="Lato" w:hAnsi="Lato"/>
          <w:color w:val="000000" w:themeColor="text1"/>
        </w:rPr>
        <w:t xml:space="preserve"> powiązania miały wpływ na wystąpienie stwierdzonego naruszenia zasady konkurencyjności.</w:t>
      </w:r>
    </w:p>
    <w:p w14:paraId="4F11A9F3" w14:textId="32C51EE6" w:rsidR="00220C70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Czynności związane z przygotowaniem oraz przeprowadzeniem postępowania o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udzielenie zamówienia wykonują osoby zapewniające bezstronność i obiektywizm.</w:t>
      </w:r>
    </w:p>
    <w:p w14:paraId="0830751D" w14:textId="66422C7A" w:rsidR="008B5368" w:rsidRPr="00B24F73" w:rsidRDefault="00220C70" w:rsidP="00F42D58">
      <w:pPr>
        <w:pStyle w:val="Akapitzlist"/>
        <w:numPr>
          <w:ilvl w:val="0"/>
          <w:numId w:val="3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Osoby wskazane w ust. 5 składają w formie pisemnej lub elektronicznej (w rozumieniu odpowiednio art. 78 i art. 78¹ </w:t>
      </w:r>
      <w:r w:rsidR="001B7B78" w:rsidRPr="00B24F73">
        <w:rPr>
          <w:rFonts w:ascii="Lato" w:hAnsi="Lato"/>
          <w:color w:val="000000" w:themeColor="text1"/>
        </w:rPr>
        <w:t>k</w:t>
      </w:r>
      <w:r w:rsidRPr="00B24F73">
        <w:rPr>
          <w:rFonts w:ascii="Lato" w:hAnsi="Lato"/>
          <w:color w:val="000000" w:themeColor="text1"/>
        </w:rPr>
        <w:t xml:space="preserve">odeksu cywilnego) oświadczenie o braku istnienia albo braku wpływu powiązań osobowych lub kapitałowych z wykonawcami, o </w:t>
      </w:r>
      <w:r w:rsidR="001B7B78" w:rsidRPr="00B24F73">
        <w:rPr>
          <w:rFonts w:ascii="Lato" w:hAnsi="Lato"/>
          <w:color w:val="000000" w:themeColor="text1"/>
        </w:rPr>
        <w:t>których</w:t>
      </w:r>
      <w:r w:rsidRPr="00B24F73">
        <w:rPr>
          <w:rFonts w:ascii="Lato" w:hAnsi="Lato"/>
          <w:color w:val="000000" w:themeColor="text1"/>
        </w:rPr>
        <w:t xml:space="preserve"> mowa w ust. 3.</w:t>
      </w:r>
    </w:p>
    <w:p w14:paraId="4A3C953D" w14:textId="650B93C2" w:rsidR="008B5368" w:rsidRPr="00B24F73" w:rsidRDefault="008B5368" w:rsidP="00F42D58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3</w:t>
      </w:r>
    </w:p>
    <w:p w14:paraId="1136321C" w14:textId="77777777" w:rsidR="008B5368" w:rsidRPr="00B24F73" w:rsidRDefault="008B5368" w:rsidP="00DB6465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Szacowanie wartości zamówienia</w:t>
      </w:r>
    </w:p>
    <w:p w14:paraId="672D13B1" w14:textId="57785F4C" w:rsidR="008B5368" w:rsidRPr="00B24F73" w:rsidRDefault="008B5368" w:rsidP="00F42D58">
      <w:pPr>
        <w:pStyle w:val="Akapitzlist"/>
        <w:numPr>
          <w:ilvl w:val="0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OOW zobowiązany jest do oszacowania wartości zamówienia, mającej na celu:</w:t>
      </w:r>
    </w:p>
    <w:p w14:paraId="660BD085" w14:textId="7A995180" w:rsidR="00F86AA1" w:rsidRPr="00B24F73" w:rsidRDefault="008B5368" w:rsidP="00F42D58">
      <w:pPr>
        <w:pStyle w:val="Akapitzlist"/>
        <w:numPr>
          <w:ilvl w:val="1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wybór właściwego trybu udzielenia zamówienia;</w:t>
      </w:r>
    </w:p>
    <w:p w14:paraId="2239967D" w14:textId="74F78FF8" w:rsidR="00D75D9F" w:rsidRPr="00B24F73" w:rsidRDefault="008B5368" w:rsidP="00F42D58">
      <w:pPr>
        <w:pStyle w:val="Akapitzlist"/>
        <w:numPr>
          <w:ilvl w:val="1"/>
          <w:numId w:val="5"/>
        </w:numPr>
        <w:jc w:val="both"/>
        <w:rPr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zaplanowanie budżetu na sfinansowanie zamówienia;</w:t>
      </w:r>
    </w:p>
    <w:p w14:paraId="6E3324CA" w14:textId="7877D62C" w:rsidR="008B5368" w:rsidRPr="00B24F73" w:rsidRDefault="008B5368" w:rsidP="00F42D58">
      <w:pPr>
        <w:pStyle w:val="Akapitzlist"/>
        <w:numPr>
          <w:ilvl w:val="1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uniknięcie obejścia prawa poprzez „sztuczny” podział zamówienia lub zaniżenie jego wartości.</w:t>
      </w:r>
    </w:p>
    <w:p w14:paraId="5F238F3D" w14:textId="67F89402" w:rsidR="008B5368" w:rsidRPr="00B24F73" w:rsidRDefault="008B5368" w:rsidP="00F42D58">
      <w:pPr>
        <w:pStyle w:val="Akapitzlist"/>
        <w:numPr>
          <w:ilvl w:val="0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Podstawą ustalenia wartości zamówienia jest całkowite szacunkowe wynagrodzenie wykonawcy bez podatku od towarów i usług, ustalone z należytą starannością.</w:t>
      </w:r>
    </w:p>
    <w:p w14:paraId="5BCC740B" w14:textId="4CCC202B" w:rsidR="008B5368" w:rsidRPr="00B24F73" w:rsidRDefault="008B5368" w:rsidP="003A5FB0">
      <w:pPr>
        <w:pStyle w:val="Akapitzlist"/>
        <w:numPr>
          <w:ilvl w:val="0"/>
          <w:numId w:val="5"/>
        </w:numPr>
        <w:jc w:val="both"/>
        <w:rPr>
          <w:rFonts w:ascii="Lato" w:hAnsi="Lato"/>
          <w:strike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OOW nie może dzielić zamówienia na odrębne zamówienia, jeżeli prowadzi to do niestosowania przepisów P</w:t>
      </w:r>
      <w:r w:rsidR="000073B8" w:rsidRPr="00B24F73">
        <w:rPr>
          <w:rFonts w:ascii="Lato" w:hAnsi="Lato"/>
          <w:color w:val="000000" w:themeColor="text1"/>
        </w:rPr>
        <w:t>ZP</w:t>
      </w:r>
      <w:r w:rsidRPr="00B24F73">
        <w:rPr>
          <w:rFonts w:ascii="Lato" w:hAnsi="Lato"/>
          <w:color w:val="000000" w:themeColor="text1"/>
        </w:rPr>
        <w:t xml:space="preserve">, lub </w:t>
      </w:r>
      <w:r w:rsidR="00F555A4">
        <w:rPr>
          <w:rFonts w:ascii="Lato" w:hAnsi="Lato"/>
          <w:color w:val="000000" w:themeColor="text1"/>
        </w:rPr>
        <w:t>Procedury.</w:t>
      </w:r>
      <w:r w:rsidRPr="00B24F73">
        <w:rPr>
          <w:rFonts w:ascii="Lato" w:hAnsi="Lato"/>
          <w:strike/>
          <w:color w:val="000000" w:themeColor="text1"/>
        </w:rPr>
        <w:t>.</w:t>
      </w:r>
    </w:p>
    <w:p w14:paraId="4D8CB0F2" w14:textId="7D3D662B" w:rsidR="008B5368" w:rsidRPr="00B24F73" w:rsidRDefault="008B5368" w:rsidP="00F42D58">
      <w:pPr>
        <w:pStyle w:val="Akapitzlist"/>
        <w:numPr>
          <w:ilvl w:val="0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Przy ustalaniu czy usługi, dostawy oraz roboty budowlane powinny stanowić jedno zamówienie należy wziąć pod uwagę łączne spełnienie trzech przesłanek:</w:t>
      </w:r>
    </w:p>
    <w:p w14:paraId="296D23C9" w14:textId="2F5E5280" w:rsidR="008B5368" w:rsidRPr="00B24F73" w:rsidRDefault="008B5368" w:rsidP="00F42D58">
      <w:pPr>
        <w:pStyle w:val="Akapitzlist"/>
        <w:numPr>
          <w:ilvl w:val="1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lastRenderedPageBreak/>
        <w:t>zamówienie na usługi, dostawy oraz roboty budowlane wskazuje na podobieństwo funkcji technicznych i gospodarczych lub jest tożsame rodzajowo lub funkcjonalnie, przy czym w przypadku dostaw obejmuje dostawy podobne (tożsamość przedmiotowa);</w:t>
      </w:r>
    </w:p>
    <w:p w14:paraId="5B0290C3" w14:textId="305A5D77" w:rsidR="008B5368" w:rsidRPr="00B24F73" w:rsidRDefault="008B5368" w:rsidP="00F42D58">
      <w:pPr>
        <w:pStyle w:val="Akapitzlist"/>
        <w:numPr>
          <w:ilvl w:val="1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możliwe jest udzielenie zamówienia w tym samym czasie (tożsamość czasowa);</w:t>
      </w:r>
    </w:p>
    <w:p w14:paraId="0C787244" w14:textId="0EB26A28" w:rsidR="008B5368" w:rsidRPr="00B24F73" w:rsidRDefault="008B5368" w:rsidP="00F42D58">
      <w:pPr>
        <w:pStyle w:val="Akapitzlist"/>
        <w:numPr>
          <w:ilvl w:val="1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możliwe jest wykonanie zamówienia przez jednego wykonawcę (tożsamość podmiotowa).</w:t>
      </w:r>
    </w:p>
    <w:p w14:paraId="03C463FD" w14:textId="4DFAE192" w:rsidR="008B5368" w:rsidRPr="00B24F73" w:rsidRDefault="008B5368" w:rsidP="001E64D6">
      <w:pPr>
        <w:pStyle w:val="Akapitzlist"/>
        <w:numPr>
          <w:ilvl w:val="0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OOW nie może, w celu uniknięcia stosowania przepisów P</w:t>
      </w:r>
      <w:r w:rsidR="00F3309D" w:rsidRPr="00B24F73">
        <w:rPr>
          <w:rFonts w:ascii="Lato" w:hAnsi="Lato"/>
          <w:color w:val="000000" w:themeColor="text1"/>
        </w:rPr>
        <w:t>ZP</w:t>
      </w:r>
      <w:r w:rsidR="00F82FA1" w:rsidRPr="00B24F73">
        <w:rPr>
          <w:rFonts w:ascii="Lato" w:hAnsi="Lato"/>
          <w:color w:val="000000" w:themeColor="text1"/>
        </w:rPr>
        <w:t xml:space="preserve"> lub </w:t>
      </w:r>
      <w:r w:rsidR="00F555A4">
        <w:rPr>
          <w:rFonts w:ascii="Lato" w:hAnsi="Lato"/>
          <w:color w:val="000000" w:themeColor="text1"/>
        </w:rPr>
        <w:t>Procedury</w:t>
      </w:r>
      <w:r w:rsidRPr="00B24F73">
        <w:rPr>
          <w:rFonts w:ascii="Lato" w:hAnsi="Lato"/>
          <w:color w:val="000000" w:themeColor="text1"/>
        </w:rPr>
        <w:t>, zaniżać wartości zamówienia.</w:t>
      </w:r>
    </w:p>
    <w:p w14:paraId="203C86C0" w14:textId="5009F6B0" w:rsidR="008B5368" w:rsidRPr="00B24F73" w:rsidRDefault="008B5368" w:rsidP="001E64D6">
      <w:pPr>
        <w:pStyle w:val="Akapitzlist"/>
        <w:numPr>
          <w:ilvl w:val="0"/>
          <w:numId w:val="5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Czynności związane z ustaleniem wartości zamówienia powinny zostać dokonane z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należytą starannością (uwzględniając zamówienia uzupełniające) i udokumentowane w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sposób zapewniający właściwą ścieżkę audytu. Należyta staranność przejawia się przede wszystkim w uwzględnieniu w wartości szacunkowej wszystkich warunków, jakie towarzyszą aktualnie, w momencie szacowania, danemu rynkowi.</w:t>
      </w:r>
    </w:p>
    <w:p w14:paraId="4D0A432C" w14:textId="77777777" w:rsidR="008B5368" w:rsidRPr="00B24F73" w:rsidRDefault="008B5368" w:rsidP="00BD4088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4</w:t>
      </w:r>
    </w:p>
    <w:p w14:paraId="1DBFDD82" w14:textId="77777777" w:rsidR="008B5368" w:rsidRPr="00B24F73" w:rsidRDefault="008B5368" w:rsidP="003A5FB0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Zapytanie ofertowe</w:t>
      </w:r>
    </w:p>
    <w:p w14:paraId="64A174A1" w14:textId="092225F1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 dokonaniu oszacowania wartości zamówienia, OOW przygotowuje zapytanie ofertowe w celu wyboru najkorzystniejszej oferty.</w:t>
      </w:r>
    </w:p>
    <w:p w14:paraId="21042B5E" w14:textId="256E2FB0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Wymaga się, by zapytanie ofertowe zawierało co najmniej:</w:t>
      </w:r>
    </w:p>
    <w:p w14:paraId="380077B0" w14:textId="64DD2E13" w:rsidR="008B5368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opis przedmiotu zamówienia;</w:t>
      </w:r>
    </w:p>
    <w:p w14:paraId="04FC59CE" w14:textId="235165AF" w:rsidR="008B5368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warunki udziału w postępowaniu</w:t>
      </w:r>
      <w:r w:rsidR="004C40BF" w:rsidRPr="00B24F73">
        <w:rPr>
          <w:rFonts w:ascii="Lato" w:hAnsi="Lato"/>
          <w:color w:val="000000" w:themeColor="text1"/>
        </w:rPr>
        <w:t xml:space="preserve"> oraz opis sposobu dokonywania oceny ich spełniania</w:t>
      </w:r>
      <w:r w:rsidR="00326832" w:rsidRPr="00B24F73">
        <w:rPr>
          <w:rFonts w:ascii="Lato" w:hAnsi="Lato"/>
          <w:color w:val="000000" w:themeColor="text1"/>
        </w:rPr>
        <w:t xml:space="preserve"> – jeżeli zamawiający  określił takie warunki</w:t>
      </w:r>
      <w:r w:rsidRPr="00B24F73">
        <w:rPr>
          <w:rFonts w:ascii="Lato" w:hAnsi="Lato"/>
          <w:color w:val="000000" w:themeColor="text1"/>
        </w:rPr>
        <w:t>;</w:t>
      </w:r>
    </w:p>
    <w:p w14:paraId="6DAF161E" w14:textId="064D0B88" w:rsidR="00EF01EF" w:rsidRPr="00B24F73" w:rsidRDefault="00EF01EF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termin realizacji zamówienia; </w:t>
      </w:r>
    </w:p>
    <w:p w14:paraId="74EF0656" w14:textId="24818E88" w:rsidR="00817157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kryteria oceny ofert;</w:t>
      </w:r>
    </w:p>
    <w:p w14:paraId="21C816B5" w14:textId="21858898" w:rsidR="00EE58FC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wagach punktowych lub procentowych przypisanych do poszczególnych kryteriów oceny ofert</w:t>
      </w:r>
      <w:r w:rsidR="00CE374E" w:rsidRPr="00B24F73">
        <w:rPr>
          <w:rFonts w:ascii="Lato" w:hAnsi="Lato"/>
          <w:color w:val="000000" w:themeColor="text1"/>
        </w:rPr>
        <w:t xml:space="preserve"> </w:t>
      </w:r>
      <w:r w:rsidR="004E3CB6" w:rsidRPr="00B24F73">
        <w:rPr>
          <w:rFonts w:ascii="Lato" w:hAnsi="Lato"/>
          <w:color w:val="000000" w:themeColor="text1"/>
        </w:rPr>
        <w:t>i sposobu oceny ofert</w:t>
      </w:r>
      <w:r w:rsidRPr="00B24F73">
        <w:rPr>
          <w:rFonts w:ascii="Lato" w:hAnsi="Lato"/>
          <w:color w:val="000000" w:themeColor="text1"/>
        </w:rPr>
        <w:t>;</w:t>
      </w:r>
      <w:r w:rsidR="00792D16" w:rsidRPr="00B24F73" w:rsidDel="00792D16">
        <w:rPr>
          <w:rFonts w:ascii="Lato" w:hAnsi="Lato"/>
          <w:color w:val="000000" w:themeColor="text1"/>
        </w:rPr>
        <w:t xml:space="preserve"> </w:t>
      </w:r>
    </w:p>
    <w:p w14:paraId="40F87A77" w14:textId="1AD5F08F" w:rsidR="00736948" w:rsidRPr="00B24F73" w:rsidRDefault="00EE58FC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dotyczącą</w:t>
      </w:r>
      <w:r w:rsidR="00B56FE4" w:rsidRPr="00B24F73">
        <w:rPr>
          <w:rFonts w:ascii="Lato" w:hAnsi="Lato"/>
          <w:color w:val="000000" w:themeColor="text1"/>
        </w:rPr>
        <w:t xml:space="preserve"> składania</w:t>
      </w:r>
      <w:r w:rsidRPr="00B24F73">
        <w:rPr>
          <w:rFonts w:ascii="Lato" w:hAnsi="Lato"/>
          <w:color w:val="000000" w:themeColor="text1"/>
        </w:rPr>
        <w:t xml:space="preserve"> ofert wariantowych, jeżeli zamawiający</w:t>
      </w:r>
      <w:r w:rsidR="00B56FE4" w:rsidRPr="00B24F73">
        <w:rPr>
          <w:rFonts w:ascii="Lato" w:hAnsi="Lato"/>
          <w:color w:val="000000" w:themeColor="text1"/>
        </w:rPr>
        <w:t xml:space="preserve"> dopuszcza albo wymaga ich złożenia</w:t>
      </w:r>
      <w:r w:rsidRPr="00B24F73">
        <w:rPr>
          <w:rFonts w:ascii="Lato" w:hAnsi="Lato"/>
          <w:color w:val="000000" w:themeColor="text1"/>
        </w:rPr>
        <w:t>,</w:t>
      </w:r>
      <w:r w:rsidR="00736948" w:rsidRPr="00B24F73">
        <w:rPr>
          <w:rFonts w:ascii="Lato" w:hAnsi="Lato"/>
          <w:color w:val="000000" w:themeColor="text1"/>
        </w:rPr>
        <w:t xml:space="preserve"> z zastrzeżeniem, że oferty wariantowe muszą być związane z przedmiotem zamówienia. W takim przypadku zamawiający jest zobowiązany określić co najmniej: </w:t>
      </w:r>
      <w:r w:rsidRPr="00B24F73">
        <w:rPr>
          <w:rFonts w:ascii="Lato" w:hAnsi="Lato"/>
          <w:color w:val="000000" w:themeColor="text1"/>
        </w:rPr>
        <w:t xml:space="preserve"> </w:t>
      </w:r>
    </w:p>
    <w:p w14:paraId="364EC787" w14:textId="0851AE98" w:rsidR="00736948" w:rsidRPr="00B24F73" w:rsidRDefault="00EE58FC" w:rsidP="003A5FB0">
      <w:pPr>
        <w:pStyle w:val="Akapitzlist"/>
        <w:numPr>
          <w:ilvl w:val="2"/>
          <w:numId w:val="7"/>
        </w:numPr>
        <w:ind w:left="198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minimalne</w:t>
      </w:r>
      <w:r w:rsidR="00B56FE4" w:rsidRPr="00B24F73">
        <w:rPr>
          <w:rFonts w:ascii="Lato" w:hAnsi="Lato"/>
          <w:color w:val="000000" w:themeColor="text1"/>
        </w:rPr>
        <w:t xml:space="preserve"> wymagania</w:t>
      </w:r>
      <w:r w:rsidRPr="00B24F73">
        <w:rPr>
          <w:rFonts w:ascii="Lato" w:hAnsi="Lato"/>
          <w:color w:val="000000" w:themeColor="text1"/>
        </w:rPr>
        <w:t>, jakim muszą odpowiadać oferty wariantowe</w:t>
      </w:r>
      <w:r w:rsidR="00B56FE4" w:rsidRPr="00B24F73">
        <w:rPr>
          <w:rFonts w:ascii="Lato" w:hAnsi="Lato"/>
          <w:color w:val="000000" w:themeColor="text1"/>
        </w:rPr>
        <w:t xml:space="preserve"> oraz wymagania dotyczące ich składania, w szczególności informację o</w:t>
      </w:r>
      <w:r w:rsidR="00F86AA1" w:rsidRPr="00B24F73">
        <w:rPr>
          <w:rFonts w:ascii="Lato" w:hAnsi="Lato"/>
          <w:color w:val="000000" w:themeColor="text1"/>
        </w:rPr>
        <w:t> </w:t>
      </w:r>
      <w:r w:rsidR="00B56FE4" w:rsidRPr="00B24F73">
        <w:rPr>
          <w:rFonts w:ascii="Lato" w:hAnsi="Lato"/>
          <w:color w:val="000000" w:themeColor="text1"/>
        </w:rPr>
        <w:t>możliwości złożenia oferty wariantowej</w:t>
      </w:r>
      <w:r w:rsidRPr="00B24F73">
        <w:rPr>
          <w:rFonts w:ascii="Lato" w:hAnsi="Lato"/>
          <w:color w:val="000000" w:themeColor="text1"/>
        </w:rPr>
        <w:t xml:space="preserve"> wraz z ofertą</w:t>
      </w:r>
      <w:r w:rsidR="00B56FE4" w:rsidRPr="00B24F73">
        <w:rPr>
          <w:rFonts w:ascii="Lato" w:hAnsi="Lato"/>
          <w:color w:val="000000" w:themeColor="text1"/>
        </w:rPr>
        <w:t xml:space="preserve"> podstawową</w:t>
      </w:r>
      <w:r w:rsidRPr="00B24F73">
        <w:rPr>
          <w:rFonts w:ascii="Lato" w:hAnsi="Lato"/>
          <w:color w:val="000000" w:themeColor="text1"/>
        </w:rPr>
        <w:t xml:space="preserve"> albo zamiast oferty</w:t>
      </w:r>
      <w:r w:rsidR="00B56FE4" w:rsidRPr="00B24F73">
        <w:rPr>
          <w:rFonts w:ascii="Lato" w:hAnsi="Lato"/>
          <w:color w:val="000000" w:themeColor="text1"/>
        </w:rPr>
        <w:t xml:space="preserve"> podstawowe</w:t>
      </w:r>
      <w:r w:rsidR="00E41479" w:rsidRPr="00B24F73">
        <w:rPr>
          <w:rFonts w:ascii="Lato" w:hAnsi="Lato"/>
          <w:color w:val="000000" w:themeColor="text1"/>
        </w:rPr>
        <w:t>j</w:t>
      </w:r>
      <w:r w:rsidR="00736948" w:rsidRPr="00B24F73">
        <w:rPr>
          <w:rFonts w:ascii="Lato" w:hAnsi="Lato"/>
          <w:color w:val="000000" w:themeColor="text1"/>
        </w:rPr>
        <w:t xml:space="preserve">, </w:t>
      </w:r>
    </w:p>
    <w:p w14:paraId="64B84F97" w14:textId="3B701458" w:rsidR="00817157" w:rsidRPr="00B24F73" w:rsidRDefault="00E41479" w:rsidP="003A5FB0">
      <w:pPr>
        <w:pStyle w:val="Akapitzlist"/>
        <w:numPr>
          <w:ilvl w:val="2"/>
          <w:numId w:val="7"/>
        </w:numPr>
        <w:ind w:left="198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kryteria oceny ofert, w sposób zapewniający możliwość ich zastosowania zarówno w odniesieniu do oferty podstawowej, jak i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oferty wariantowej</w:t>
      </w:r>
      <w:r w:rsidR="00817157" w:rsidRPr="00B24F73">
        <w:rPr>
          <w:rFonts w:ascii="Lato" w:hAnsi="Lato"/>
          <w:color w:val="000000" w:themeColor="text1"/>
        </w:rPr>
        <w:t>;</w:t>
      </w:r>
      <w:r w:rsidRPr="00B24F73">
        <w:rPr>
          <w:rFonts w:ascii="Lato" w:hAnsi="Lato"/>
          <w:color w:val="000000" w:themeColor="text1"/>
        </w:rPr>
        <w:t xml:space="preserve"> </w:t>
      </w:r>
    </w:p>
    <w:p w14:paraId="47D89A92" w14:textId="6E68F0F4" w:rsidR="001D1EC7" w:rsidRPr="00AA0608" w:rsidRDefault="008B5368" w:rsidP="00AA0608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termin</w:t>
      </w:r>
      <w:r w:rsidR="00205A97" w:rsidRPr="00B24F73">
        <w:rPr>
          <w:rFonts w:ascii="Lato" w:hAnsi="Lato"/>
          <w:color w:val="000000" w:themeColor="text1"/>
        </w:rPr>
        <w:t xml:space="preserve"> i sposób</w:t>
      </w:r>
      <w:r w:rsidRPr="00B24F73">
        <w:rPr>
          <w:rFonts w:ascii="Lato" w:hAnsi="Lato"/>
          <w:color w:val="000000" w:themeColor="text1"/>
        </w:rPr>
        <w:t xml:space="preserve"> składania ofert;</w:t>
      </w:r>
    </w:p>
    <w:p w14:paraId="05B7B6A9" w14:textId="770511A5" w:rsidR="001D1EC7" w:rsidRPr="00B24F73" w:rsidRDefault="001D1EC7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na temat zakazu konfliktu interesów;</w:t>
      </w:r>
    </w:p>
    <w:p w14:paraId="44AF8DAE" w14:textId="3DD9423D" w:rsidR="00817157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możliwości składania ofert częściowych, o ile OOW taką możliwość przewiduje;</w:t>
      </w:r>
    </w:p>
    <w:p w14:paraId="21DA3752" w14:textId="27FE525D" w:rsidR="00817157" w:rsidRPr="00B24F73" w:rsidRDefault="008B5368" w:rsidP="001E64D6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planowanych zamówieniach uzupełniających, o ile OOW taką możliwość przewiduje;</w:t>
      </w:r>
    </w:p>
    <w:p w14:paraId="02E6D64F" w14:textId="09EEB0C7" w:rsidR="008B5368" w:rsidRPr="00B24F73" w:rsidRDefault="008B5368" w:rsidP="00B24F73">
      <w:pPr>
        <w:pStyle w:val="Akapitzlist"/>
        <w:ind w:left="1418"/>
        <w:jc w:val="both"/>
        <w:rPr>
          <w:rFonts w:ascii="Lato" w:hAnsi="Lato"/>
          <w:color w:val="000000" w:themeColor="text1"/>
        </w:rPr>
      </w:pPr>
    </w:p>
    <w:p w14:paraId="6CB84074" w14:textId="1E662D71" w:rsidR="008B5368" w:rsidRPr="00B24F73" w:rsidRDefault="008B5368" w:rsidP="001E64D6">
      <w:pPr>
        <w:pStyle w:val="Akapitzlist"/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1</w:t>
      </w:r>
      <w:r w:rsidR="00EE58FC" w:rsidRPr="00B24F73">
        <w:rPr>
          <w:rFonts w:ascii="Lato" w:hAnsi="Lato"/>
          <w:color w:val="000000" w:themeColor="text1"/>
        </w:rPr>
        <w:t>1</w:t>
      </w:r>
      <w:r w:rsidRPr="00B24F73">
        <w:rPr>
          <w:rFonts w:ascii="Lato" w:hAnsi="Lato"/>
          <w:color w:val="000000" w:themeColor="text1"/>
        </w:rPr>
        <w:t>)</w:t>
      </w:r>
      <w:r w:rsidR="00F86AA1" w:rsidRPr="00B24F73">
        <w:rPr>
          <w:rFonts w:ascii="Lato" w:hAnsi="Lato"/>
          <w:color w:val="000000" w:themeColor="text1"/>
        </w:rPr>
        <w:tab/>
      </w:r>
      <w:r w:rsidRPr="00B24F73">
        <w:rPr>
          <w:rFonts w:ascii="Lato" w:hAnsi="Lato"/>
          <w:color w:val="000000" w:themeColor="text1"/>
        </w:rPr>
        <w:t>istotne postanowienia umowy i warunki zmiany istotnych postanowień umowy;</w:t>
      </w:r>
    </w:p>
    <w:p w14:paraId="738DA557" w14:textId="16444200" w:rsidR="008B5368" w:rsidRPr="00B24F73" w:rsidRDefault="008B5368" w:rsidP="001E64D6">
      <w:pPr>
        <w:pStyle w:val="Akapitzlist"/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1</w:t>
      </w:r>
      <w:r w:rsidR="00EE58FC" w:rsidRPr="00B24F73">
        <w:rPr>
          <w:rFonts w:ascii="Lato" w:hAnsi="Lato"/>
          <w:color w:val="000000" w:themeColor="text1"/>
        </w:rPr>
        <w:t>2</w:t>
      </w:r>
      <w:r w:rsidRPr="00B24F73">
        <w:rPr>
          <w:rFonts w:ascii="Lato" w:hAnsi="Lato"/>
          <w:color w:val="000000" w:themeColor="text1"/>
        </w:rPr>
        <w:t>)</w:t>
      </w:r>
      <w:r w:rsidR="00F86AA1" w:rsidRPr="00B24F73">
        <w:rPr>
          <w:rFonts w:ascii="Lato" w:hAnsi="Lato"/>
          <w:color w:val="000000" w:themeColor="text1"/>
        </w:rPr>
        <w:tab/>
      </w:r>
      <w:r w:rsidRPr="00B24F73">
        <w:rPr>
          <w:rFonts w:ascii="Lato" w:hAnsi="Lato"/>
          <w:color w:val="000000" w:themeColor="text1"/>
        </w:rPr>
        <w:t>warunki ewentualnego odstąpienia od zawarcia umowy.</w:t>
      </w:r>
    </w:p>
    <w:p w14:paraId="1C0CED79" w14:textId="3CBA123B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Przedmiot zamówienia opisuje się w sposób jednoznaczny i wyczerpujący, za pomocą dokładnych i zrozumiałych określeń, uwzględniając wszystkie wymagania i okoliczności </w:t>
      </w:r>
      <w:r w:rsidRPr="00B24F73">
        <w:rPr>
          <w:rFonts w:ascii="Lato" w:hAnsi="Lato"/>
          <w:color w:val="000000" w:themeColor="text1"/>
        </w:rPr>
        <w:lastRenderedPageBreak/>
        <w:t>mogące mieć wpływ na sporządzenie oferty. Opis powinien być szczegółowy i</w:t>
      </w:r>
      <w:r w:rsidR="00F86AA1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obiektywny.</w:t>
      </w:r>
    </w:p>
    <w:p w14:paraId="36FEFFF8" w14:textId="7AF14BA0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Opis przedmiotu zamówienia nie może doprowadzić do uprzywilejowania lub wyeliminowania niektórych wykonawców lub produktów</w:t>
      </w:r>
      <w:r w:rsidR="009F474A" w:rsidRPr="00B24F73">
        <w:rPr>
          <w:rFonts w:ascii="Lato" w:hAnsi="Lato"/>
          <w:color w:val="000000" w:themeColor="text1"/>
        </w:rPr>
        <w:t>, nie może utrudniać uczciwej konkurencji</w:t>
      </w:r>
      <w:r w:rsidR="00391551" w:rsidRPr="00B24F73">
        <w:rPr>
          <w:rFonts w:ascii="Lato" w:hAnsi="Lato"/>
          <w:color w:val="000000" w:themeColor="text1"/>
        </w:rPr>
        <w:t xml:space="preserve">, w szczególności </w:t>
      </w:r>
      <w:r w:rsidR="00541A03" w:rsidRPr="00B24F73">
        <w:rPr>
          <w:rFonts w:ascii="Lato" w:hAnsi="Lato"/>
          <w:color w:val="000000" w:themeColor="text1"/>
        </w:rPr>
        <w:t xml:space="preserve">poprzez </w:t>
      </w:r>
      <w:r w:rsidR="00391551" w:rsidRPr="00B24F73">
        <w:rPr>
          <w:rFonts w:ascii="Lato" w:hAnsi="Lato"/>
          <w:color w:val="000000" w:themeColor="text1"/>
        </w:rPr>
        <w:t xml:space="preserve">wskazywanie znaków towarowych, patentów lub pochodzenia, źródła lub szczególnego procesu, który wskazuje produkty lub usługi dostarczane przez konkretnego wykonawcę. </w:t>
      </w:r>
      <w:r w:rsidRPr="00B24F73">
        <w:rPr>
          <w:rFonts w:ascii="Lato" w:hAnsi="Lato"/>
          <w:color w:val="000000" w:themeColor="text1"/>
        </w:rPr>
        <w:t xml:space="preserve"> </w:t>
      </w:r>
      <w:r w:rsidR="00391551" w:rsidRPr="00B24F73">
        <w:rPr>
          <w:rFonts w:ascii="Lato" w:hAnsi="Lato"/>
          <w:color w:val="000000" w:themeColor="text1"/>
        </w:rPr>
        <w:t xml:space="preserve">Zamawiający może opisać przedmiot </w:t>
      </w:r>
      <w:r w:rsidR="00B264E2">
        <w:rPr>
          <w:rFonts w:ascii="Lato" w:hAnsi="Lato"/>
          <w:color w:val="000000" w:themeColor="text1"/>
        </w:rPr>
        <w:t xml:space="preserve">zamówienia </w:t>
      </w:r>
      <w:r w:rsidR="00391551" w:rsidRPr="00B24F73">
        <w:rPr>
          <w:rFonts w:ascii="Lato" w:hAnsi="Lato"/>
          <w:color w:val="000000" w:themeColor="text1"/>
        </w:rPr>
        <w:t>wskazując znak towarowe, patenty, lub pochodzenie, źródł</w:t>
      </w:r>
      <w:r w:rsidR="00B264E2">
        <w:rPr>
          <w:rFonts w:ascii="Lato" w:hAnsi="Lato"/>
          <w:color w:val="000000" w:themeColor="text1"/>
        </w:rPr>
        <w:t>o</w:t>
      </w:r>
      <w:r w:rsidR="00391551" w:rsidRPr="00B24F73">
        <w:rPr>
          <w:rFonts w:ascii="Lato" w:hAnsi="Lato"/>
          <w:color w:val="000000" w:themeColor="text1"/>
        </w:rPr>
        <w:t xml:space="preserve"> lub </w:t>
      </w:r>
      <w:r w:rsidR="00B264E2" w:rsidRPr="00B24F73">
        <w:rPr>
          <w:rFonts w:ascii="Lato" w:hAnsi="Lato"/>
          <w:color w:val="000000" w:themeColor="text1"/>
        </w:rPr>
        <w:t>szczegól</w:t>
      </w:r>
      <w:r w:rsidR="00B264E2">
        <w:rPr>
          <w:rFonts w:ascii="Lato" w:hAnsi="Lato"/>
          <w:color w:val="000000" w:themeColor="text1"/>
        </w:rPr>
        <w:t>ny</w:t>
      </w:r>
      <w:r w:rsidR="00391551" w:rsidRPr="00B24F73">
        <w:rPr>
          <w:rFonts w:ascii="Lato" w:hAnsi="Lato"/>
          <w:color w:val="000000" w:themeColor="text1"/>
        </w:rPr>
        <w:t xml:space="preserve">  proces</w:t>
      </w:r>
      <w:r w:rsidR="00B264E2">
        <w:rPr>
          <w:rFonts w:ascii="Lato" w:hAnsi="Lato"/>
          <w:color w:val="000000" w:themeColor="text1"/>
        </w:rPr>
        <w:t>, który charakteryzuje produkty lub usługi dostarczane przez konkretnego wykonawcę, tylko w przypadku gdy</w:t>
      </w:r>
      <w:r w:rsidR="00391551" w:rsidRPr="00B24F73">
        <w:rPr>
          <w:rFonts w:ascii="Lato" w:hAnsi="Lato"/>
          <w:color w:val="000000" w:themeColor="text1"/>
        </w:rPr>
        <w:t xml:space="preserve"> </w:t>
      </w:r>
      <w:r w:rsidR="00FB3FBE" w:rsidRPr="00B24F73">
        <w:rPr>
          <w:rFonts w:ascii="Lato" w:hAnsi="Lato"/>
          <w:color w:val="000000" w:themeColor="text1"/>
        </w:rPr>
        <w:t xml:space="preserve">zamawiający nie może opisać przedmiotu zamówienia w wystarczająco precyzyjny i zrozumiały sposób pod warunkiem, że Zamawiający dopuszcza rozwiązania równoważne i opisał w sposób jasny i jednoznaczny kryteria równoważności. Przy doborze kryteriów należy się kierować  celem, którym powinien być wybór rozwiązań które pozwolą na zaspokojenie uzasadnionych potrzeb zamawiającego. </w:t>
      </w:r>
      <w:r w:rsidRPr="00B24F73">
        <w:rPr>
          <w:rFonts w:ascii="Lato" w:hAnsi="Lato"/>
          <w:color w:val="000000" w:themeColor="text1"/>
        </w:rPr>
        <w:t>W opisie przedmiotu zamówienia należy stosować nazwy i kody określone we Wspólnym Słowniku Zamówień (CPV)</w:t>
      </w:r>
      <w:r w:rsidR="00F3309D" w:rsidRPr="00B24F73">
        <w:rPr>
          <w:rFonts w:ascii="Lato" w:hAnsi="Lato"/>
          <w:color w:val="000000" w:themeColor="text1"/>
        </w:rPr>
        <w:t xml:space="preserve"> (zgodnie z treścią rozporządzenia (WE) nr 2195/2002 Parlamentu Europejskiego i Rady z dnia 5 listopada 2002 r. w sprawie Wspólnego Słownika Zamówień (CPV) (Dz.</w:t>
      </w:r>
      <w:r w:rsidR="00F86AA1" w:rsidRPr="00B24F73">
        <w:rPr>
          <w:rFonts w:ascii="Lato" w:hAnsi="Lato"/>
          <w:color w:val="000000" w:themeColor="text1"/>
        </w:rPr>
        <w:t> </w:t>
      </w:r>
      <w:r w:rsidR="00F3309D" w:rsidRPr="00B24F73">
        <w:rPr>
          <w:rFonts w:ascii="Lato" w:hAnsi="Lato"/>
          <w:color w:val="000000" w:themeColor="text1"/>
        </w:rPr>
        <w:t>U.UE.L. z 2002r. Nr 340, str.1 z późn.zm.).</w:t>
      </w:r>
    </w:p>
    <w:p w14:paraId="6FAE8BBB" w14:textId="1B0CD74A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Warunki udziału w postępowaniu</w:t>
      </w:r>
      <w:r w:rsidR="00B65AB5" w:rsidRPr="00B24F73">
        <w:rPr>
          <w:rFonts w:ascii="Lato" w:hAnsi="Lato"/>
          <w:color w:val="000000" w:themeColor="text1"/>
        </w:rPr>
        <w:t xml:space="preserve"> o udzielenie zamówienia</w:t>
      </w:r>
      <w:r w:rsidRPr="00B24F73">
        <w:rPr>
          <w:rFonts w:ascii="Lato" w:hAnsi="Lato"/>
          <w:color w:val="000000" w:themeColor="text1"/>
        </w:rPr>
        <w:t xml:space="preserve"> </w:t>
      </w:r>
      <w:r w:rsidR="00B65AB5" w:rsidRPr="00B24F73">
        <w:rPr>
          <w:rFonts w:ascii="Lato" w:hAnsi="Lato"/>
          <w:color w:val="000000" w:themeColor="text1"/>
        </w:rPr>
        <w:t xml:space="preserve">oraz opis sposobu dokonywania oceny ich spełniania muszą być związane z przedmiotem zamówienia i </w:t>
      </w:r>
      <w:r w:rsidRPr="00B24F73">
        <w:rPr>
          <w:rFonts w:ascii="Lato" w:hAnsi="Lato"/>
          <w:color w:val="000000" w:themeColor="text1"/>
        </w:rPr>
        <w:t>proporcjonalne do przedmiotu zamówienia</w:t>
      </w:r>
      <w:r w:rsidR="009540F3" w:rsidRPr="00B24F73">
        <w:rPr>
          <w:rFonts w:ascii="Lato" w:hAnsi="Lato"/>
          <w:color w:val="000000" w:themeColor="text1"/>
        </w:rPr>
        <w:t xml:space="preserve"> oraz muszą umożliwiać ocenę zdolności wykonawcy do należytego wykonania zamówienia</w:t>
      </w:r>
      <w:r w:rsidR="009A5B1C" w:rsidRPr="00B24F73">
        <w:rPr>
          <w:rFonts w:ascii="Lato" w:hAnsi="Lato"/>
          <w:color w:val="000000" w:themeColor="text1"/>
        </w:rPr>
        <w:t>.</w:t>
      </w:r>
      <w:r w:rsidRPr="00B24F73">
        <w:rPr>
          <w:rFonts w:ascii="Lato" w:hAnsi="Lato"/>
          <w:color w:val="000000" w:themeColor="text1"/>
        </w:rPr>
        <w:t xml:space="preserve"> </w:t>
      </w:r>
      <w:r w:rsidR="009540F3" w:rsidRPr="00B24F73">
        <w:rPr>
          <w:rFonts w:ascii="Lato" w:hAnsi="Lato"/>
          <w:color w:val="000000" w:themeColor="text1"/>
        </w:rPr>
        <w:t>Warunki udział</w:t>
      </w:r>
      <w:r w:rsidR="009A5B1C" w:rsidRPr="00B24F73">
        <w:rPr>
          <w:rFonts w:ascii="Lato" w:hAnsi="Lato"/>
          <w:color w:val="000000" w:themeColor="text1"/>
        </w:rPr>
        <w:t>u</w:t>
      </w:r>
      <w:r w:rsidR="009540F3" w:rsidRPr="00B24F73">
        <w:rPr>
          <w:rFonts w:ascii="Lato" w:hAnsi="Lato"/>
          <w:color w:val="000000" w:themeColor="text1"/>
        </w:rPr>
        <w:t xml:space="preserve"> w postępowaniu musza być </w:t>
      </w:r>
      <w:r w:rsidRPr="00B24F73">
        <w:rPr>
          <w:rFonts w:ascii="Lato" w:hAnsi="Lato"/>
          <w:color w:val="000000" w:themeColor="text1"/>
        </w:rPr>
        <w:t>wyraźne i precyzyjne, powinny zapewniać zachowanie uczciwej konkurencji i równe traktowanie oraz nie mogą dyskryminować potencjalnych oferentów.</w:t>
      </w:r>
    </w:p>
    <w:p w14:paraId="16337F72" w14:textId="1A45A1E6" w:rsidR="008B5368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Termin na złożenie</w:t>
      </w:r>
      <w:r w:rsidR="00110C33" w:rsidRPr="00B24F73">
        <w:rPr>
          <w:rFonts w:ascii="Lato" w:hAnsi="Lato"/>
          <w:color w:val="000000" w:themeColor="text1"/>
        </w:rPr>
        <w:t xml:space="preserve"> </w:t>
      </w:r>
      <w:r w:rsidRPr="00B24F73">
        <w:rPr>
          <w:rFonts w:ascii="Lato" w:hAnsi="Lato"/>
          <w:color w:val="000000" w:themeColor="text1"/>
        </w:rPr>
        <w:t>oferty (decyduje data wpływu oferty do OOW) wynosi co najmniej 7 dni – w przypadku dostaw i usług, co najmniej 14 dni – w przypadku robót budowlanych</w:t>
      </w:r>
      <w:r w:rsidR="00F62EE9" w:rsidRPr="00B24F73">
        <w:rPr>
          <w:rFonts w:ascii="Lato" w:hAnsi="Lato"/>
          <w:color w:val="000000" w:themeColor="text1"/>
        </w:rPr>
        <w:t>.</w:t>
      </w:r>
      <w:r w:rsidR="00501553" w:rsidRPr="00B24F73">
        <w:rPr>
          <w:rFonts w:ascii="Lato" w:hAnsi="Lato"/>
          <w:color w:val="000000" w:themeColor="text1"/>
        </w:rPr>
        <w:t xml:space="preserve"> </w:t>
      </w:r>
      <w:r w:rsidR="00673B4C" w:rsidRPr="00B24F73">
        <w:rPr>
          <w:rFonts w:ascii="Lato" w:hAnsi="Lato"/>
          <w:color w:val="000000" w:themeColor="text1"/>
        </w:rPr>
        <w:t xml:space="preserve"> W przypadku zamówień, których szacunkowa wartość jest równa lub przekracza kwotę 1.024.799 złotych netto w zakresie dostaw i usług oraz kwotę 25.680.260 złotych netto w przypadku robót budowlanych minimalny termin wynosi 30 dni.  </w:t>
      </w:r>
      <w:r w:rsidRPr="00B24F73">
        <w:rPr>
          <w:rFonts w:ascii="Lato" w:hAnsi="Lato"/>
          <w:color w:val="000000" w:themeColor="text1"/>
        </w:rPr>
        <w:t xml:space="preserve">Bieg terminu rozpoczyna się w dniu następującym po dniu </w:t>
      </w:r>
      <w:r w:rsidR="00156B3B" w:rsidRPr="00B24F73">
        <w:rPr>
          <w:rFonts w:ascii="Lato" w:hAnsi="Lato"/>
          <w:color w:val="000000" w:themeColor="text1"/>
        </w:rPr>
        <w:t>udostępnienia</w:t>
      </w:r>
      <w:r w:rsidRPr="00B24F73">
        <w:rPr>
          <w:rFonts w:ascii="Lato" w:hAnsi="Lato"/>
          <w:color w:val="000000" w:themeColor="text1"/>
        </w:rPr>
        <w:t xml:space="preserve"> zapytania ofertowego, a kończy się z upływem ostatniego dnia. Jeżeli koniec terminu przypada na sobotę lub dzień ustawowo wolny od pracy, termin upływa dnia następującego po dniu lub dniach wolnych od pracy.</w:t>
      </w:r>
      <w:r w:rsidR="00501553" w:rsidRPr="00B24F73">
        <w:rPr>
          <w:rFonts w:ascii="Lato" w:hAnsi="Lato"/>
          <w:color w:val="000000" w:themeColor="text1"/>
        </w:rPr>
        <w:t xml:space="preserve"> </w:t>
      </w:r>
    </w:p>
    <w:p w14:paraId="74F1DA9F" w14:textId="1A84C239" w:rsidR="00817157" w:rsidRPr="00B24F73" w:rsidRDefault="008B5368" w:rsidP="001E64D6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Postępowanie ma być prowadzone w sposób przejrzysty z zachowaniem uczciwej konkurencji i równego traktowania wykonawców oraz zasad konkurencyjności. W tym celu OOW:</w:t>
      </w:r>
    </w:p>
    <w:p w14:paraId="14CB5C8A" w14:textId="2E0211A3" w:rsidR="008B5368" w:rsidRPr="00B24F73" w:rsidRDefault="00156B3B" w:rsidP="0097303D">
      <w:pPr>
        <w:pStyle w:val="Akapitzlist"/>
        <w:numPr>
          <w:ilvl w:val="0"/>
          <w:numId w:val="9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udostępnia</w:t>
      </w:r>
      <w:r w:rsidR="008B5368" w:rsidRPr="00B24F73">
        <w:rPr>
          <w:rFonts w:ascii="Lato" w:hAnsi="Lato"/>
          <w:color w:val="000000" w:themeColor="text1"/>
        </w:rPr>
        <w:t xml:space="preserve"> zapytanie</w:t>
      </w:r>
      <w:r w:rsidRPr="00B24F73">
        <w:rPr>
          <w:rFonts w:ascii="Lato" w:hAnsi="Lato"/>
          <w:color w:val="000000" w:themeColor="text1"/>
        </w:rPr>
        <w:t xml:space="preserve"> </w:t>
      </w:r>
      <w:r w:rsidR="008B5368" w:rsidRPr="00B24F73">
        <w:rPr>
          <w:rFonts w:ascii="Lato" w:hAnsi="Lato"/>
          <w:color w:val="000000" w:themeColor="text1"/>
        </w:rPr>
        <w:t>ofertowe na stronie internetowej</w:t>
      </w:r>
      <w:r w:rsidRPr="00B24F73">
        <w:rPr>
          <w:rFonts w:ascii="Lato" w:hAnsi="Lato"/>
          <w:color w:val="000000" w:themeColor="text1"/>
        </w:rPr>
        <w:t xml:space="preserve"> prowadzonego postępowania</w:t>
      </w:r>
      <w:r w:rsidR="000622EA" w:rsidRPr="00B24F73">
        <w:rPr>
          <w:rFonts w:ascii="Lato" w:hAnsi="Lato"/>
          <w:color w:val="000000" w:themeColor="text1"/>
        </w:rPr>
        <w:t>, zgodnie z postanowieniami ust. 8 - 10</w:t>
      </w:r>
      <w:r w:rsidR="008B5368" w:rsidRPr="00B24F73">
        <w:rPr>
          <w:rFonts w:ascii="Lato" w:hAnsi="Lato"/>
          <w:color w:val="000000" w:themeColor="text1"/>
        </w:rPr>
        <w:t>;</w:t>
      </w:r>
    </w:p>
    <w:p w14:paraId="58A9C7C3" w14:textId="62DC04F7" w:rsidR="008B5368" w:rsidRPr="00B24F73" w:rsidRDefault="008B5368" w:rsidP="0097303D">
      <w:pPr>
        <w:pStyle w:val="Akapitzlist"/>
        <w:numPr>
          <w:ilvl w:val="0"/>
          <w:numId w:val="9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wybiera najkorzystniejszą ofertę w oparciu o ustalone w zapytaniu ofertowym kryteria oceny.</w:t>
      </w:r>
    </w:p>
    <w:p w14:paraId="02250F81" w14:textId="2631187E" w:rsidR="000622EA" w:rsidRPr="00B24F73" w:rsidRDefault="000C59BB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 zastrzeżeniem ust.</w:t>
      </w:r>
      <w:r w:rsidR="00E606F7" w:rsidRPr="00B24F73">
        <w:rPr>
          <w:rFonts w:ascii="Lato" w:hAnsi="Lato"/>
          <w:color w:val="000000" w:themeColor="text1"/>
        </w:rPr>
        <w:t xml:space="preserve"> </w:t>
      </w:r>
      <w:r w:rsidRPr="00B24F73">
        <w:rPr>
          <w:rFonts w:ascii="Lato" w:hAnsi="Lato"/>
          <w:color w:val="000000" w:themeColor="text1"/>
        </w:rPr>
        <w:t>9 i 10, k</w:t>
      </w:r>
      <w:r w:rsidR="000622EA" w:rsidRPr="00B24F73">
        <w:rPr>
          <w:rFonts w:ascii="Lato" w:hAnsi="Lato"/>
          <w:color w:val="000000" w:themeColor="text1"/>
        </w:rPr>
        <w:t>omunikacja w postępowaniu o udzielenie zamówienia, w</w:t>
      </w:r>
      <w:r w:rsidR="003D56F3" w:rsidRPr="00B24F73">
        <w:rPr>
          <w:rFonts w:ascii="Lato" w:hAnsi="Lato"/>
          <w:color w:val="000000" w:themeColor="text1"/>
        </w:rPr>
        <w:t> </w:t>
      </w:r>
      <w:r w:rsidR="000622EA" w:rsidRPr="00B24F73">
        <w:rPr>
          <w:rFonts w:ascii="Lato" w:hAnsi="Lato"/>
          <w:color w:val="000000" w:themeColor="text1"/>
        </w:rPr>
        <w:t xml:space="preserve">tym ogłoszenie zapytania ofertowego, składanie ofert, wymiana informacji między </w:t>
      </w:r>
      <w:r w:rsidR="000622EA" w:rsidRPr="00B24F73">
        <w:rPr>
          <w:rFonts w:ascii="Lato" w:hAnsi="Lato"/>
          <w:color w:val="000000" w:themeColor="text1"/>
        </w:rPr>
        <w:lastRenderedPageBreak/>
        <w:t xml:space="preserve">zamawiającym a wykonawcą oraz przekazywanie dokumentów i oświadczeń odbywa się pisemnie za pomocą </w:t>
      </w:r>
      <w:r w:rsidRPr="00B24F73">
        <w:rPr>
          <w:rFonts w:ascii="Lato" w:hAnsi="Lato"/>
          <w:color w:val="000000" w:themeColor="text1"/>
        </w:rPr>
        <w:t>portal</w:t>
      </w:r>
      <w:r w:rsidR="00E52466" w:rsidRPr="00B24F73">
        <w:rPr>
          <w:rFonts w:ascii="Lato" w:hAnsi="Lato"/>
          <w:color w:val="000000" w:themeColor="text1"/>
        </w:rPr>
        <w:t xml:space="preserve">u </w:t>
      </w:r>
      <w:r w:rsidRPr="00B24F73">
        <w:rPr>
          <w:rFonts w:ascii="Lato" w:hAnsi="Lato"/>
          <w:color w:val="000000" w:themeColor="text1"/>
        </w:rPr>
        <w:t>Bazy Konkurencyjności,</w:t>
      </w:r>
      <w:r w:rsidR="00E52466" w:rsidRPr="00B24F73">
        <w:rPr>
          <w:rFonts w:ascii="Lato" w:hAnsi="Lato"/>
          <w:color w:val="000000" w:themeColor="text1"/>
        </w:rPr>
        <w:t xml:space="preserve"> dalej BK2021</w:t>
      </w:r>
      <w:r w:rsidR="00E52466" w:rsidRPr="00B24F73">
        <w:rPr>
          <w:rStyle w:val="Odwoanieprzypisudolnego"/>
          <w:rFonts w:ascii="Lato" w:hAnsi="Lato"/>
          <w:color w:val="000000" w:themeColor="text1"/>
        </w:rPr>
        <w:footnoteReference w:id="3"/>
      </w:r>
      <w:r w:rsidR="00E52466" w:rsidRPr="00B24F73">
        <w:rPr>
          <w:rFonts w:ascii="Lato" w:hAnsi="Lato"/>
          <w:color w:val="000000" w:themeColor="text1"/>
        </w:rPr>
        <w:t xml:space="preserve">. </w:t>
      </w:r>
    </w:p>
    <w:p w14:paraId="46800EAB" w14:textId="6B9EF24A" w:rsidR="000622EA" w:rsidRPr="00B24F73" w:rsidRDefault="000622EA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Odstąpienie od komunikacji określonej w ust. 8 jest dopuszczalne w zakresie, w jakim nie jest możliwe dotrzymanie sposobu komunikacji w BK2021. Zamawiający określa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 xml:space="preserve">zapytaniu ofertowym sposób komunikacji w postępowaniu o udzielenie zamówienia wynikający z zakresu odstąpienia od komunikacji w BK2021. </w:t>
      </w:r>
    </w:p>
    <w:p w14:paraId="5A144DC8" w14:textId="4DA5CBBC" w:rsidR="000622EA" w:rsidRPr="00B24F73" w:rsidRDefault="000622EA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W przypadku zawieszenia działalności BK2021 potwierdzonego odpowiednim komunikatem w BK2021, zamawiający kieruje zapytanie ofertowe do co najmniej trzech potencjalnych wykonawców, o ile na rynku istnieje trzech potencjalnych wykonawców danego zamówienia, oraz </w:t>
      </w:r>
      <w:r w:rsidR="000C59BB" w:rsidRPr="00B24F73">
        <w:rPr>
          <w:rFonts w:ascii="Lato" w:hAnsi="Lato"/>
          <w:color w:val="000000" w:themeColor="text1"/>
        </w:rPr>
        <w:t xml:space="preserve"> udostępnia</w:t>
      </w:r>
      <w:r w:rsidR="00E52466" w:rsidRPr="00B24F73">
        <w:rPr>
          <w:rFonts w:ascii="Lato" w:hAnsi="Lato"/>
          <w:color w:val="000000" w:themeColor="text1"/>
        </w:rPr>
        <w:t xml:space="preserve"> </w:t>
      </w:r>
      <w:r w:rsidRPr="00B24F73">
        <w:rPr>
          <w:rFonts w:ascii="Lato" w:hAnsi="Lato"/>
          <w:color w:val="000000" w:themeColor="text1"/>
        </w:rPr>
        <w:t>zapytanie ofertowe</w:t>
      </w:r>
      <w:r w:rsidR="00A924DC" w:rsidRPr="00B24F73">
        <w:rPr>
          <w:rFonts w:ascii="Lato" w:hAnsi="Lato"/>
          <w:color w:val="000000" w:themeColor="text1"/>
        </w:rPr>
        <w:t xml:space="preserve"> na stronie internetowej prowadzonego postępowania</w:t>
      </w:r>
      <w:r w:rsidRPr="00B24F73">
        <w:rPr>
          <w:rFonts w:ascii="Lato" w:hAnsi="Lato"/>
          <w:color w:val="000000" w:themeColor="text1"/>
        </w:rPr>
        <w:t xml:space="preserve"> W takim przypadku zamawiający określa w zapytaniu ofertowym sposób komunikacji w postępowaniu o udzielenie zamówienia.</w:t>
      </w:r>
    </w:p>
    <w:p w14:paraId="0461756F" w14:textId="58C20D99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Wybór oferty jest dokumentowany protokołem. Protokół zawiera co najmniej:</w:t>
      </w:r>
    </w:p>
    <w:p w14:paraId="39F5FB2C" w14:textId="690DB17E" w:rsidR="00E606F7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datę sporządzenia protokołu;</w:t>
      </w:r>
    </w:p>
    <w:p w14:paraId="1B240AEB" w14:textId="33A7AE1F" w:rsidR="00002FF6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sposobie upublicznienia zapytania ofertowego;</w:t>
      </w:r>
    </w:p>
    <w:p w14:paraId="712D5046" w14:textId="4EA4B3FD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wykaz ofert, które wpłynęły w odpowiedzi na zapytanie ofertowe, wraz ze wskazaniem daty wpłynięcia oferty do OOW;</w:t>
      </w:r>
    </w:p>
    <w:p w14:paraId="6D305BF8" w14:textId="598F73EA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spełnieniu warunków udziału w postępowaniu przez wykonawców, o ile takie warunki były stawiane;</w:t>
      </w:r>
    </w:p>
    <w:p w14:paraId="73452B5B" w14:textId="6F5EC2A1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wagach punktowych lub procentowych przypisanych do poszczególnych kryteriów oceny i sposobie przyznawania punktacji poszczególnym wykonawcom za spełnienie danego kryterium;</w:t>
      </w:r>
    </w:p>
    <w:p w14:paraId="3F9D4269" w14:textId="215D8689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wskazanie wybranej oferty wraz z uzasadnieniem wyboru, albo uzasadnieniem odstąpienia od zawarcia umowy;</w:t>
      </w:r>
    </w:p>
    <w:p w14:paraId="0F0995D5" w14:textId="1BFF0CEA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potwierdzenie upublicznienia zapytania ofertowego;</w:t>
      </w:r>
    </w:p>
    <w:p w14:paraId="7DC5BE21" w14:textId="229F2A00" w:rsidR="008B5368" w:rsidRPr="00B24F73" w:rsidRDefault="008B5368" w:rsidP="0097303D">
      <w:pPr>
        <w:pStyle w:val="Akapitzlist"/>
        <w:numPr>
          <w:ilvl w:val="1"/>
          <w:numId w:val="7"/>
        </w:numPr>
        <w:ind w:left="1418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oświadczenia o braku powiązań z wybranym wykonawcą albo wskazanie zależności pomiędzy wybranym wykonawcą a OOW.</w:t>
      </w:r>
    </w:p>
    <w:p w14:paraId="261BE935" w14:textId="3B3ACE98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 Na wniosek wykonawcy, który złożył ofertę, należy udostępnić protokół, o którym mowa w ust.</w:t>
      </w:r>
      <w:r w:rsidR="000622EA" w:rsidRPr="00B24F73">
        <w:rPr>
          <w:rFonts w:ascii="Lato" w:hAnsi="Lato"/>
          <w:color w:val="000000" w:themeColor="text1"/>
        </w:rPr>
        <w:t xml:space="preserve"> 11</w:t>
      </w:r>
      <w:r w:rsidRPr="00B24F73">
        <w:rPr>
          <w:rFonts w:ascii="Lato" w:hAnsi="Lato"/>
          <w:color w:val="000000" w:themeColor="text1"/>
        </w:rPr>
        <w:t>, z wyłączeniem części ofert stanowiących tajemnicę przedsiębiorstwa.</w:t>
      </w:r>
    </w:p>
    <w:p w14:paraId="17CE5B6A" w14:textId="3D16CBF8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Ewentualne negocjacje z wykonawcami również powinny być udokumentowane (np.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formie protokołu lub notatki). Negocjacje nie mogą prowadzić do pogorszenia sytuacji OOW i muszą uwzględniać zasadę równego traktowania wykonawców.</w:t>
      </w:r>
    </w:p>
    <w:p w14:paraId="6295BE15" w14:textId="65756A03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Postępowanie o udzielenie zamówienia może zakończyć się wyborem kilku wykonawców, gdy OOW dopuszcza składanie ofert częściowych.</w:t>
      </w:r>
    </w:p>
    <w:p w14:paraId="25AA1DE5" w14:textId="5F458E5A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Informację o wyniku postępowania o udzielenie zamówienia upublicznia się w taki sposób, w jaki zostało upublicznione zapytanie ofertowe. Informacja o wyniku postępowania o udzielenie zamówienia zawiera nazwę wybranego wykonawcy, jego siedzibę oraz cenę zamówienia.</w:t>
      </w:r>
    </w:p>
    <w:p w14:paraId="0A49B41C" w14:textId="6C85C44F" w:rsidR="008B5368" w:rsidRPr="00B24F73" w:rsidRDefault="008B5368" w:rsidP="0097303D">
      <w:pPr>
        <w:pStyle w:val="Akapitzlist"/>
        <w:numPr>
          <w:ilvl w:val="0"/>
          <w:numId w:val="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Jeżeli zapytania ofertowe zostały upublicznione przed </w:t>
      </w:r>
      <w:r w:rsidR="00921FCB" w:rsidRPr="00B24F73">
        <w:rPr>
          <w:rFonts w:ascii="Lato" w:hAnsi="Lato"/>
          <w:color w:val="000000" w:themeColor="text1"/>
        </w:rPr>
        <w:t xml:space="preserve">dniem następującym po dniu </w:t>
      </w:r>
      <w:r w:rsidR="006601F9" w:rsidRPr="00B24F73">
        <w:rPr>
          <w:rFonts w:ascii="Lato" w:hAnsi="Lato"/>
          <w:color w:val="000000" w:themeColor="text1"/>
        </w:rPr>
        <w:t>ogłoszen</w:t>
      </w:r>
      <w:r w:rsidR="00921FCB" w:rsidRPr="00B24F73">
        <w:rPr>
          <w:rFonts w:ascii="Lato" w:hAnsi="Lato"/>
          <w:color w:val="000000" w:themeColor="text1"/>
        </w:rPr>
        <w:t>ia</w:t>
      </w:r>
      <w:r w:rsidR="006601F9" w:rsidRPr="00B24F73">
        <w:rPr>
          <w:rFonts w:ascii="Lato" w:hAnsi="Lato"/>
          <w:color w:val="000000" w:themeColor="text1"/>
        </w:rPr>
        <w:t xml:space="preserve"> naboru </w:t>
      </w:r>
      <w:r w:rsidRPr="00B24F73">
        <w:rPr>
          <w:rFonts w:ascii="Lato" w:hAnsi="Lato"/>
          <w:color w:val="000000" w:themeColor="text1"/>
        </w:rPr>
        <w:t xml:space="preserve"> w ramach inwestycji </w:t>
      </w:r>
      <w:r w:rsidR="00797AA8" w:rsidRPr="00B24F73">
        <w:rPr>
          <w:rFonts w:ascii="Lato" w:hAnsi="Lato"/>
          <w:color w:val="000000" w:themeColor="text1"/>
        </w:rPr>
        <w:t xml:space="preserve"> D 1.1.2</w:t>
      </w:r>
      <w:r w:rsidRPr="00B24F73">
        <w:rPr>
          <w:rFonts w:ascii="Lato" w:hAnsi="Lato"/>
          <w:color w:val="000000" w:themeColor="text1"/>
        </w:rPr>
        <w:t xml:space="preserve"> KPO, kwestia spełnienia warunków rynkowych przy wyborze wykonawcy jest indywidualnie badana przez IOI. Na tej podstawie podejmowana jest decyzja dotycząca spełni</w:t>
      </w:r>
      <w:r w:rsidR="00797AA8" w:rsidRPr="00B24F73">
        <w:rPr>
          <w:rFonts w:ascii="Lato" w:hAnsi="Lato"/>
          <w:color w:val="000000" w:themeColor="text1"/>
        </w:rPr>
        <w:t>e</w:t>
      </w:r>
      <w:r w:rsidRPr="00B24F73">
        <w:rPr>
          <w:rFonts w:ascii="Lato" w:hAnsi="Lato"/>
          <w:color w:val="000000" w:themeColor="text1"/>
        </w:rPr>
        <w:t>nia lub nie</w:t>
      </w:r>
      <w:r w:rsidR="00797AA8" w:rsidRPr="00B24F73">
        <w:rPr>
          <w:rFonts w:ascii="Lato" w:hAnsi="Lato"/>
          <w:color w:val="000000" w:themeColor="text1"/>
        </w:rPr>
        <w:t>spełnienia</w:t>
      </w:r>
      <w:r w:rsidRPr="00B24F73">
        <w:rPr>
          <w:rFonts w:ascii="Lato" w:hAnsi="Lato"/>
          <w:color w:val="000000" w:themeColor="text1"/>
        </w:rPr>
        <w:t xml:space="preserve"> zasady konkurencyjności. Decyzja jest ostateczna i nie przysługują od niej środki odwoławcze.</w:t>
      </w:r>
    </w:p>
    <w:p w14:paraId="5CFE2D1E" w14:textId="77777777" w:rsidR="00B264E2" w:rsidRDefault="00B264E2" w:rsidP="00DA0AB3">
      <w:pPr>
        <w:spacing w:after="0"/>
        <w:jc w:val="center"/>
        <w:rPr>
          <w:rFonts w:ascii="Lato" w:hAnsi="Lato"/>
          <w:b/>
          <w:bCs/>
          <w:color w:val="000000" w:themeColor="text1"/>
        </w:rPr>
      </w:pPr>
    </w:p>
    <w:p w14:paraId="488F4873" w14:textId="3AC61AC8" w:rsidR="008B5368" w:rsidRPr="00B24F73" w:rsidRDefault="008B5368" w:rsidP="00DA0AB3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lastRenderedPageBreak/>
        <w:t>§ 5</w:t>
      </w:r>
    </w:p>
    <w:p w14:paraId="3BDB390C" w14:textId="77777777" w:rsidR="008B5368" w:rsidRPr="00B24F73" w:rsidRDefault="008B5368" w:rsidP="006A4B36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Kryteria oceny ofert</w:t>
      </w:r>
    </w:p>
    <w:p w14:paraId="45C268FC" w14:textId="5CC7B9C7" w:rsidR="002A498E" w:rsidRPr="00B24F73" w:rsidRDefault="008B5368" w:rsidP="00DA0AB3">
      <w:pPr>
        <w:pStyle w:val="Akapitzlist"/>
        <w:numPr>
          <w:ilvl w:val="1"/>
          <w:numId w:val="10"/>
        </w:numPr>
        <w:ind w:left="851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OOW, aby ustalić, która oferta jest najkorzystniejszą spośród złożonych, musi je zbadać i ocenić w oparciu o przyjęte w dokumentach zapytania ofertowego kryteria oceny ofert.</w:t>
      </w:r>
    </w:p>
    <w:p w14:paraId="4DBC0CD5" w14:textId="547D9FA2" w:rsidR="002A498E" w:rsidRPr="00B24F73" w:rsidRDefault="008B5368" w:rsidP="00DA0AB3">
      <w:pPr>
        <w:pStyle w:val="Akapitzlist"/>
        <w:numPr>
          <w:ilvl w:val="1"/>
          <w:numId w:val="10"/>
        </w:numPr>
        <w:ind w:left="851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Kryteria oceny ofert opisuje się w sposób jednoznaczny, precyzyjny i zrozumiały, pamiętając o tym, że muszą być one związane z przedmiotem danego zamówienia.</w:t>
      </w:r>
      <w:r w:rsidR="0022553D" w:rsidRPr="00B24F73">
        <w:rPr>
          <w:rFonts w:ascii="Lato" w:hAnsi="Lato"/>
          <w:color w:val="000000" w:themeColor="text1"/>
        </w:rPr>
        <w:t xml:space="preserve">  Kryteria oceny ofert nie mogą dotyczyć właściwości wykonawcy, w szczególności wiarygodności ekonomicznej, technicznej lub finansowej. Właściwości wykonawcy dotyczą warunków udziału w postępowaniu (jeżeli zamawiający  określił takie warunki). Kryteria oceny ofert służą do oceny </w:t>
      </w:r>
      <w:r w:rsidR="007E2986" w:rsidRPr="00B24F73">
        <w:rPr>
          <w:rFonts w:ascii="Lato" w:hAnsi="Lato"/>
          <w:color w:val="000000" w:themeColor="text1"/>
        </w:rPr>
        <w:t xml:space="preserve">złożonych </w:t>
      </w:r>
      <w:r w:rsidR="0022553D" w:rsidRPr="00B24F73">
        <w:rPr>
          <w:rFonts w:ascii="Lato" w:hAnsi="Lato"/>
          <w:color w:val="000000" w:themeColor="text1"/>
        </w:rPr>
        <w:t>przez wykonawców ofert</w:t>
      </w:r>
      <w:r w:rsidR="004614D4" w:rsidRPr="00B24F73">
        <w:rPr>
          <w:rFonts w:ascii="Lato" w:hAnsi="Lato"/>
          <w:color w:val="000000" w:themeColor="text1"/>
        </w:rPr>
        <w:t>, który spełnili warunki udziału w post</w:t>
      </w:r>
      <w:r w:rsidR="00C8702D" w:rsidRPr="00B24F73">
        <w:rPr>
          <w:rFonts w:ascii="Lato" w:hAnsi="Lato"/>
          <w:color w:val="000000" w:themeColor="text1"/>
        </w:rPr>
        <w:t>ę</w:t>
      </w:r>
      <w:r w:rsidR="004614D4" w:rsidRPr="00B24F73">
        <w:rPr>
          <w:rFonts w:ascii="Lato" w:hAnsi="Lato"/>
          <w:color w:val="000000" w:themeColor="text1"/>
        </w:rPr>
        <w:t xml:space="preserve">powaniu (jeżeli były one określone). </w:t>
      </w:r>
    </w:p>
    <w:p w14:paraId="21130524" w14:textId="07BC3186" w:rsidR="002A498E" w:rsidRPr="00B24F73" w:rsidRDefault="008B5368" w:rsidP="00DA0AB3">
      <w:pPr>
        <w:pStyle w:val="Akapitzlist"/>
        <w:numPr>
          <w:ilvl w:val="1"/>
          <w:numId w:val="10"/>
        </w:numPr>
        <w:ind w:left="851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Kryteria oceny ofert składanych w ramach postępowania o udzielenie zamówienia powinny zostać sformułowane w sposób zapewniający zachowanie uczciwej konkurencji oraz równego traktowania wykonawców.</w:t>
      </w:r>
      <w:r w:rsidR="003A280E" w:rsidRPr="00B24F73" w:rsidDel="003A280E">
        <w:rPr>
          <w:rFonts w:ascii="Lato" w:hAnsi="Lato"/>
          <w:color w:val="000000" w:themeColor="text1"/>
        </w:rPr>
        <w:t xml:space="preserve"> </w:t>
      </w:r>
    </w:p>
    <w:p w14:paraId="62D1310F" w14:textId="7261DAEC" w:rsidR="002A498E" w:rsidRPr="00B24F73" w:rsidRDefault="008B5368" w:rsidP="00DA0AB3">
      <w:pPr>
        <w:pStyle w:val="Akapitzlist"/>
        <w:numPr>
          <w:ilvl w:val="1"/>
          <w:numId w:val="10"/>
        </w:numPr>
        <w:ind w:left="851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Cena może być jedynym kryterium oceny. Można stosować również inne kryteria </w:t>
      </w:r>
      <w:proofErr w:type="spellStart"/>
      <w:r w:rsidR="003D56F3" w:rsidRPr="00B24F73">
        <w:rPr>
          <w:rFonts w:ascii="Lato" w:hAnsi="Lato"/>
          <w:color w:val="000000" w:themeColor="text1"/>
        </w:rPr>
        <w:t>pozacenowe</w:t>
      </w:r>
      <w:proofErr w:type="spellEnd"/>
      <w:r w:rsidRPr="00B24F73">
        <w:rPr>
          <w:rFonts w:ascii="Lato" w:hAnsi="Lato"/>
          <w:color w:val="000000" w:themeColor="text1"/>
        </w:rPr>
        <w:t>, w szczególności jakościowe.</w:t>
      </w:r>
    </w:p>
    <w:p w14:paraId="46C5F125" w14:textId="1CD34DDA" w:rsidR="003D56F3" w:rsidRPr="00B24F73" w:rsidRDefault="008B5368" w:rsidP="00DA0AB3">
      <w:pPr>
        <w:pStyle w:val="Akapitzlist"/>
        <w:numPr>
          <w:ilvl w:val="1"/>
          <w:numId w:val="10"/>
        </w:numPr>
        <w:ind w:left="851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Zamawiający określa w zapytaniu ofertowym wagę, jaką przypisuje każdemu z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kryteriów wybranych do celów ustalenia oferty najkorzystniejszej, z wyjątkiem sytuacji, gdy cena jest jedynym kryterium oceny ofert.</w:t>
      </w:r>
    </w:p>
    <w:p w14:paraId="2885D901" w14:textId="77777777" w:rsidR="008B5368" w:rsidRPr="00B24F73" w:rsidRDefault="008B5368" w:rsidP="00DA0AB3">
      <w:pPr>
        <w:spacing w:after="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6</w:t>
      </w:r>
    </w:p>
    <w:p w14:paraId="31E2BE47" w14:textId="77777777" w:rsidR="008B5368" w:rsidRPr="00B24F73" w:rsidRDefault="008B5368" w:rsidP="00BD53A9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Wyłączenia stosowania zasady konkurencyjności</w:t>
      </w:r>
    </w:p>
    <w:p w14:paraId="62AA6522" w14:textId="619A72C2" w:rsidR="008B5368" w:rsidRPr="00B24F73" w:rsidRDefault="008B5368" w:rsidP="00DA0AB3">
      <w:pPr>
        <w:pStyle w:val="Akapitzlist"/>
        <w:numPr>
          <w:ilvl w:val="0"/>
          <w:numId w:val="1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Zasad</w:t>
      </w:r>
      <w:r w:rsidR="008A5B15" w:rsidRPr="00B24F73">
        <w:rPr>
          <w:rFonts w:ascii="Lato" w:hAnsi="Lato"/>
          <w:color w:val="000000" w:themeColor="text1"/>
        </w:rPr>
        <w:t>y</w:t>
      </w:r>
      <w:r w:rsidRPr="00B24F73">
        <w:rPr>
          <w:rFonts w:ascii="Lato" w:hAnsi="Lato"/>
          <w:color w:val="000000" w:themeColor="text1"/>
        </w:rPr>
        <w:t xml:space="preserve"> konkurencyjności można nie stosować:</w:t>
      </w:r>
    </w:p>
    <w:p w14:paraId="3DF6C429" w14:textId="6567D55A" w:rsidR="008B5368" w:rsidRPr="00B24F73" w:rsidRDefault="008B5368" w:rsidP="00DA0AB3">
      <w:pPr>
        <w:pStyle w:val="Akapitzlist"/>
        <w:numPr>
          <w:ilvl w:val="0"/>
          <w:numId w:val="17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ze względu na wyjątkową sytuację lub pilną potrzebę (konieczność) udzielenia zamówienia, niewynikającą z przyczyn leżących po stronie OOW, której wcześniej nie można było przewidzieć i nie można było zachować terminów;</w:t>
      </w:r>
    </w:p>
    <w:p w14:paraId="3ED02792" w14:textId="6F548DAD" w:rsidR="008B5368" w:rsidRPr="00B24F73" w:rsidRDefault="008B5368" w:rsidP="00B24F73">
      <w:pPr>
        <w:pStyle w:val="Akapitzlist"/>
        <w:numPr>
          <w:ilvl w:val="0"/>
          <w:numId w:val="18"/>
        </w:numPr>
        <w:ind w:left="1134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 zamówień, które mogą być zrealizowane tylko przez jednego wykonawcę z następujących powodów:</w:t>
      </w:r>
    </w:p>
    <w:p w14:paraId="528ADB3D" w14:textId="4611232D" w:rsidR="008B5368" w:rsidRPr="00B24F73" w:rsidRDefault="008B5368" w:rsidP="00B24F73">
      <w:pPr>
        <w:pStyle w:val="Akapitzlist"/>
        <w:numPr>
          <w:ilvl w:val="1"/>
          <w:numId w:val="18"/>
        </w:numPr>
        <w:ind w:left="1418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ze względów technicznych o obiektywnym charakterze,</w:t>
      </w:r>
    </w:p>
    <w:p w14:paraId="34098CC7" w14:textId="343156AB" w:rsidR="008B5368" w:rsidRPr="00B24F73" w:rsidRDefault="008B5368" w:rsidP="00B24F73">
      <w:pPr>
        <w:pStyle w:val="Akapitzlist"/>
        <w:numPr>
          <w:ilvl w:val="1"/>
          <w:numId w:val="18"/>
        </w:numPr>
        <w:ind w:left="1418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gdy istnieje tylko jeden wykonawca, który może zrealizować zamówienie,</w:t>
      </w:r>
    </w:p>
    <w:p w14:paraId="6D6A6B0F" w14:textId="3C56ECD4" w:rsidR="008B5368" w:rsidRPr="00B24F73" w:rsidRDefault="008B5368" w:rsidP="00B24F73">
      <w:pPr>
        <w:pStyle w:val="Akapitzlist"/>
        <w:numPr>
          <w:ilvl w:val="1"/>
          <w:numId w:val="18"/>
        </w:numPr>
        <w:ind w:left="1418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przedmiot zamówienia jest objęty ochroną praw wyłącznych wynikających z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przepisów, w tym praw własności intelektualnej,</w:t>
      </w:r>
    </w:p>
    <w:p w14:paraId="269A0434" w14:textId="6DC8566E" w:rsidR="008B5368" w:rsidRPr="00B24F73" w:rsidRDefault="008B5368" w:rsidP="00B24F73">
      <w:pPr>
        <w:pStyle w:val="Akapitzlist"/>
        <w:numPr>
          <w:ilvl w:val="1"/>
          <w:numId w:val="18"/>
        </w:numPr>
        <w:ind w:left="1418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gdy istnieje tylko jeden wykonawca, który ma wyłączne prawo do dysponowania przedmiotem zamówienia, a prawo to podlega ochronie ustawowej, o ile nie istnieje rozsądne rozwiązanie alternatywne lub zastępcze, a brak konkurencji nie jest wynikiem sztucznego zawężania parametrów zamówienia;</w:t>
      </w:r>
    </w:p>
    <w:p w14:paraId="7DA00C23" w14:textId="39A8BCDD" w:rsidR="008B5368" w:rsidRPr="00B24F73" w:rsidRDefault="008B5368" w:rsidP="00B24F73">
      <w:pPr>
        <w:pStyle w:val="Akapitzlist"/>
        <w:numPr>
          <w:ilvl w:val="0"/>
          <w:numId w:val="18"/>
        </w:numPr>
        <w:ind w:left="1134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 zamówień w zakresie działalności twórczej lub artystycznej, które mogą być zrealizowane tylko przez jednego wykonawcę;</w:t>
      </w:r>
    </w:p>
    <w:p w14:paraId="7FFEA554" w14:textId="19622A5A" w:rsidR="008B5368" w:rsidRPr="00B24F73" w:rsidRDefault="008B5368" w:rsidP="00B24F73">
      <w:pPr>
        <w:pStyle w:val="Akapitzlist"/>
        <w:numPr>
          <w:ilvl w:val="0"/>
          <w:numId w:val="18"/>
        </w:numPr>
        <w:ind w:left="1134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 zamówień, których przedmiotem są dostawy na szczególnie korzystnych warunkach w związku z likwidacją działalności innego podmiotu, postępowaniem egzekucyjnym albo upadłościowym;</w:t>
      </w:r>
    </w:p>
    <w:p w14:paraId="67198937" w14:textId="15895F9D" w:rsidR="008B5368" w:rsidRPr="00B24F73" w:rsidRDefault="008B5368" w:rsidP="00B24F73">
      <w:pPr>
        <w:pStyle w:val="Akapitzlist"/>
        <w:numPr>
          <w:ilvl w:val="0"/>
          <w:numId w:val="18"/>
        </w:numPr>
        <w:ind w:left="1134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 zamówień na dostawy dokonywanych na giełdzie towarowej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rozumieniu przepisów o giełdach towarowych, w tym na giełdzie towarowej innych państw członkowskich Europejskiego Obszaru Gospodarczego;</w:t>
      </w:r>
    </w:p>
    <w:p w14:paraId="78995023" w14:textId="08F8F42D" w:rsidR="008B5368" w:rsidRPr="00B24F73" w:rsidRDefault="008B5368" w:rsidP="00B24F73">
      <w:pPr>
        <w:pStyle w:val="Akapitzlist"/>
        <w:numPr>
          <w:ilvl w:val="0"/>
          <w:numId w:val="18"/>
        </w:numPr>
        <w:ind w:left="1134" w:hanging="425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 xml:space="preserve">w przypadku zamówień udzielanych wykonawcy wybranemu zgodnie z zasadą konkurencyjności na dodatkowe dostawy, polegających na częściowej wymianie dostarczonych produktów lub instalacji albo zwiększeniu bieżących dostaw lub </w:t>
      </w:r>
      <w:r w:rsidRPr="00B24F73">
        <w:rPr>
          <w:rFonts w:ascii="Lato" w:hAnsi="Lato"/>
          <w:color w:val="000000" w:themeColor="text1"/>
        </w:rPr>
        <w:lastRenderedPageBreak/>
        <w:t xml:space="preserve">rozbudowie istniejących instalacji, a zmiana wykonawcy prowadziłaby do nabycia materiałów o innych właściwościach </w:t>
      </w:r>
      <w:r w:rsidR="003A280E" w:rsidRPr="00B24F73">
        <w:rPr>
          <w:rFonts w:ascii="Lato" w:hAnsi="Lato"/>
          <w:color w:val="000000" w:themeColor="text1"/>
        </w:rPr>
        <w:t>t</w:t>
      </w:r>
      <w:r w:rsidRPr="00B24F73">
        <w:rPr>
          <w:rFonts w:ascii="Lato" w:hAnsi="Lato"/>
          <w:color w:val="000000" w:themeColor="text1"/>
        </w:rPr>
        <w:t>echnicznych, co powodowałoby</w:t>
      </w:r>
      <w:r w:rsidR="008A5B15" w:rsidRPr="00B24F73">
        <w:rPr>
          <w:rFonts w:ascii="Lato" w:hAnsi="Lato"/>
          <w:color w:val="000000" w:themeColor="text1"/>
        </w:rPr>
        <w:t xml:space="preserve"> </w:t>
      </w:r>
      <w:r w:rsidRPr="00B24F73">
        <w:rPr>
          <w:rFonts w:ascii="Lato" w:hAnsi="Lato"/>
          <w:color w:val="000000" w:themeColor="text1"/>
        </w:rPr>
        <w:t>niekompatybilność techniczną lub nieproporcjonalnie duże trudności techniczne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użytkowaniu i utrzymaniu tych produktów lub instalacji.</w:t>
      </w:r>
    </w:p>
    <w:p w14:paraId="424709E8" w14:textId="375BF44D" w:rsidR="002F6C69" w:rsidRPr="00B24F73" w:rsidRDefault="008B5368" w:rsidP="00DA0AB3">
      <w:pPr>
        <w:pStyle w:val="Akapitzlist"/>
        <w:numPr>
          <w:ilvl w:val="0"/>
          <w:numId w:val="1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Spełnienie powyższych przesłanek należy pisemnie uzasadnić.</w:t>
      </w:r>
    </w:p>
    <w:p w14:paraId="3662A828" w14:textId="74F44C0E" w:rsidR="00580DCE" w:rsidRPr="00B24F73" w:rsidRDefault="008B5368" w:rsidP="00DA0AB3">
      <w:pPr>
        <w:pStyle w:val="Akapitzlist"/>
        <w:numPr>
          <w:ilvl w:val="0"/>
          <w:numId w:val="11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Jeżeli w wyniku prawidłowego zastosowania zasady konkurencyjności nie wpłynęła żadna oferta, lub wpłynęły jedynie oferty podlegające odrzuceniu bądź żaden wykonawca nie spełnił warunków udziału w postępowaniu o udzielenie zamówienia, o ile OOW stawiał takie warunki wykonawcom, zawarcie umowy w sprawie realizacji zamówienia z pominięciem zasady konkurencyjności jest możliwe, gdy pierwotne warunki zamówienia nie zostały zmienione.</w:t>
      </w:r>
    </w:p>
    <w:p w14:paraId="04340F37" w14:textId="7FCEAA27" w:rsidR="008B5368" w:rsidRPr="00B24F73" w:rsidRDefault="008B5368" w:rsidP="00DA0AB3">
      <w:pPr>
        <w:spacing w:after="0"/>
        <w:ind w:left="3540" w:firstLine="708"/>
        <w:rPr>
          <w:rFonts w:ascii="Lato" w:hAnsi="Lato"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§ 7</w:t>
      </w:r>
    </w:p>
    <w:p w14:paraId="5C385A1D" w14:textId="77777777" w:rsidR="008B5368" w:rsidRPr="00B24F73" w:rsidRDefault="008B5368" w:rsidP="00BD53A9">
      <w:pPr>
        <w:spacing w:after="120"/>
        <w:jc w:val="center"/>
        <w:rPr>
          <w:rFonts w:ascii="Lato" w:hAnsi="Lato"/>
          <w:b/>
          <w:bCs/>
          <w:color w:val="000000" w:themeColor="text1"/>
        </w:rPr>
      </w:pPr>
      <w:r w:rsidRPr="00B24F73">
        <w:rPr>
          <w:rFonts w:ascii="Lato" w:hAnsi="Lato"/>
          <w:b/>
          <w:bCs/>
          <w:color w:val="000000" w:themeColor="text1"/>
        </w:rPr>
        <w:t>Zawarcie umowy</w:t>
      </w:r>
    </w:p>
    <w:p w14:paraId="67A52514" w14:textId="488B7A83" w:rsidR="00441AF9" w:rsidRPr="00B24F73" w:rsidRDefault="008B5368" w:rsidP="00DA0AB3">
      <w:pPr>
        <w:pStyle w:val="Akapitzlist"/>
        <w:numPr>
          <w:ilvl w:val="2"/>
          <w:numId w:val="13"/>
        </w:numPr>
        <w:ind w:left="709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Umowa z wykonawcą zawierana jest w formie pisemnej lub elektronicznej (opatrzonej kwalifikowanym podpisem elektronicznym).</w:t>
      </w:r>
    </w:p>
    <w:p w14:paraId="759DBDD3" w14:textId="02020BF5" w:rsidR="00441AF9" w:rsidRPr="00B24F73" w:rsidRDefault="008B5368" w:rsidP="00DA0AB3">
      <w:pPr>
        <w:pStyle w:val="Akapitzlist"/>
        <w:numPr>
          <w:ilvl w:val="2"/>
          <w:numId w:val="13"/>
        </w:numPr>
        <w:ind w:left="709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przypadku, gdy OOW dopuszcza składanie ofert częściowych, postępowanie o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udzielenie zamówienia może zakończyć się zawarciem umowy na część zamówienia.</w:t>
      </w:r>
    </w:p>
    <w:p w14:paraId="1D780CDB" w14:textId="1D31FDBB" w:rsidR="00441AF9" w:rsidRPr="00B24F73" w:rsidRDefault="008B5368" w:rsidP="00DA0AB3">
      <w:pPr>
        <w:pStyle w:val="Akapitzlist"/>
        <w:numPr>
          <w:ilvl w:val="2"/>
          <w:numId w:val="13"/>
        </w:numPr>
        <w:ind w:left="709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przypadku, gdy wybrany wykonawca odstąpi od zawarcia umowy z OOW, OOW zawiera umowę z kolejnym wykonawcą, który w zamówieniu ofertowym uzyskał kolejną najwyższą liczbę punktów.</w:t>
      </w:r>
    </w:p>
    <w:p w14:paraId="49382C2B" w14:textId="1CD65744" w:rsidR="008B5368" w:rsidRPr="00B24F73" w:rsidRDefault="008B5368" w:rsidP="00DA0AB3">
      <w:pPr>
        <w:pStyle w:val="Akapitzlist"/>
        <w:numPr>
          <w:ilvl w:val="2"/>
          <w:numId w:val="13"/>
        </w:numPr>
        <w:ind w:left="709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Zmiany istotnych warunków zawartej umowy można dokonać tylko i wyłącznie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przypadku:</w:t>
      </w:r>
    </w:p>
    <w:p w14:paraId="63822E3D" w14:textId="2520899B" w:rsidR="00441AF9" w:rsidRPr="00B24F73" w:rsidRDefault="008B5368" w:rsidP="00DA0AB3">
      <w:pPr>
        <w:pStyle w:val="Akapitzlist"/>
        <w:numPr>
          <w:ilvl w:val="3"/>
          <w:numId w:val="13"/>
        </w:numPr>
        <w:ind w:left="1276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gdy możliwość zmiany została przewidziana w treści umowy;</w:t>
      </w:r>
    </w:p>
    <w:p w14:paraId="15D9A290" w14:textId="6C4BD4A6" w:rsidR="008B5368" w:rsidRPr="00B24F73" w:rsidRDefault="008B5368" w:rsidP="00DA0AB3">
      <w:pPr>
        <w:pStyle w:val="Akapitzlist"/>
        <w:numPr>
          <w:ilvl w:val="3"/>
          <w:numId w:val="13"/>
        </w:numPr>
        <w:ind w:left="1276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wystąpienia tzw. siły wyższej – jeżeli zamawiający działając z należytą starannością nie mógł przewidzieć zmian, a ich wartość nie przekracza 50% zamówienia.</w:t>
      </w:r>
    </w:p>
    <w:p w14:paraId="593E25FC" w14:textId="6D3217F9" w:rsidR="008B5368" w:rsidRPr="00B24F73" w:rsidRDefault="008B5368" w:rsidP="00DA0AB3">
      <w:pPr>
        <w:pStyle w:val="Akapitzlist"/>
        <w:numPr>
          <w:ilvl w:val="2"/>
          <w:numId w:val="13"/>
        </w:numPr>
        <w:ind w:left="709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Nie jest możliwe dokonywanie istotnych zmian postanowień zawartej umowy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stosunku do treści oferty, na podstawie której dokonano wyboru wykonawcy, chyba że:</w:t>
      </w:r>
    </w:p>
    <w:p w14:paraId="0DC5214B" w14:textId="1FD3AEFF" w:rsidR="00441AF9" w:rsidRPr="00B24F73" w:rsidRDefault="008B5368" w:rsidP="00DA0AB3">
      <w:pPr>
        <w:pStyle w:val="Akapitzlist"/>
        <w:numPr>
          <w:ilvl w:val="3"/>
          <w:numId w:val="13"/>
        </w:numPr>
        <w:ind w:left="1276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zmiany zostały przewidziane w umowie w postaci jasnych, precyzyjnych i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jednoznacznych postanowień, które określają ich zakres i rodzaj oraz warunki wprowadzenia zmian;</w:t>
      </w:r>
    </w:p>
    <w:p w14:paraId="6428530A" w14:textId="2423711F" w:rsidR="00441AF9" w:rsidRPr="00B24F73" w:rsidRDefault="008B5368" w:rsidP="00DA0AB3">
      <w:pPr>
        <w:pStyle w:val="Akapitzlist"/>
        <w:numPr>
          <w:ilvl w:val="3"/>
          <w:numId w:val="13"/>
        </w:numPr>
        <w:ind w:left="1276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6BF71AAF" w14:textId="5DA14B80" w:rsidR="00441AF9" w:rsidRPr="00B24F73" w:rsidRDefault="008B5368" w:rsidP="00B24F73">
      <w:pPr>
        <w:pStyle w:val="Akapitzlist"/>
        <w:numPr>
          <w:ilvl w:val="1"/>
          <w:numId w:val="18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2086087A" w14:textId="006A2CD4" w:rsidR="00CA3890" w:rsidRPr="00B24F73" w:rsidRDefault="008B5368" w:rsidP="00B24F73">
      <w:pPr>
        <w:pStyle w:val="Akapitzlist"/>
        <w:numPr>
          <w:ilvl w:val="1"/>
          <w:numId w:val="18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zmiana wykonawcy spowodowałaby istotną niedogodność lub znaczne zwiększenie kosztów dla OOW,</w:t>
      </w:r>
    </w:p>
    <w:p w14:paraId="50D47DC5" w14:textId="07A5D59A" w:rsidR="008B5368" w:rsidRPr="00B24F73" w:rsidRDefault="008B5368" w:rsidP="00B24F73">
      <w:pPr>
        <w:pStyle w:val="Akapitzlist"/>
        <w:numPr>
          <w:ilvl w:val="1"/>
          <w:numId w:val="18"/>
        </w:numPr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wartość każdej kolejnej zmiany nie przekracza 50% wartości zamówienia określonej pierwotnie w umowie;</w:t>
      </w:r>
    </w:p>
    <w:p w14:paraId="02E9DC6A" w14:textId="0000329E" w:rsidR="008B5368" w:rsidRPr="00B24F73" w:rsidRDefault="008B5368" w:rsidP="00DA0AB3">
      <w:pPr>
        <w:pStyle w:val="Akapitzlist"/>
        <w:numPr>
          <w:ilvl w:val="3"/>
          <w:numId w:val="13"/>
        </w:numPr>
        <w:ind w:left="1276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zmiana nie prowadzi do zmiany charakteru umowy i zostały spełnione łącznie następujące warunki:</w:t>
      </w:r>
    </w:p>
    <w:p w14:paraId="0596068E" w14:textId="4DC846CD" w:rsidR="00B5327A" w:rsidRPr="00B24F73" w:rsidRDefault="008B5368" w:rsidP="00DA0AB3">
      <w:pPr>
        <w:pStyle w:val="Akapitzlist"/>
        <w:numPr>
          <w:ilvl w:val="4"/>
          <w:numId w:val="13"/>
        </w:numPr>
        <w:ind w:left="2127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konieczność zmiany umowy spowodowana jest okolicznościami, których OOW, działając z należytą starannością, nie mógł przewidzieć,</w:t>
      </w:r>
    </w:p>
    <w:p w14:paraId="49601F57" w14:textId="17510F13" w:rsidR="008B5368" w:rsidRPr="00B24F73" w:rsidRDefault="008B5368" w:rsidP="00DA0AB3">
      <w:pPr>
        <w:pStyle w:val="Akapitzlist"/>
        <w:numPr>
          <w:ilvl w:val="4"/>
          <w:numId w:val="13"/>
        </w:numPr>
        <w:ind w:left="2127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wartość zmiany nie przekracza 50% wartości zamówienia określonej pierwotnie w umowie;</w:t>
      </w:r>
    </w:p>
    <w:p w14:paraId="079F22C7" w14:textId="1BBC1542" w:rsidR="008B5368" w:rsidRPr="00B24F73" w:rsidRDefault="008B5368" w:rsidP="00DA0AB3">
      <w:pPr>
        <w:pStyle w:val="Akapitzlist"/>
        <w:numPr>
          <w:ilvl w:val="0"/>
          <w:numId w:val="16"/>
        </w:numPr>
        <w:ind w:left="1134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wykonawcę, któremu OOW udzielił zamówienia, ma zastąpić nowy wykonawca:</w:t>
      </w:r>
    </w:p>
    <w:p w14:paraId="7F05DB6B" w14:textId="19885826" w:rsidR="008B5368" w:rsidRPr="00B24F73" w:rsidRDefault="008B5368" w:rsidP="00DA0AB3">
      <w:pPr>
        <w:pStyle w:val="Akapitzlist"/>
        <w:numPr>
          <w:ilvl w:val="1"/>
          <w:numId w:val="16"/>
        </w:numPr>
        <w:ind w:left="2127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lastRenderedPageBreak/>
        <w:t>na podstawie postanowień umownych,</w:t>
      </w:r>
    </w:p>
    <w:p w14:paraId="1EBFA1BE" w14:textId="0C5B7BB5" w:rsidR="008B5368" w:rsidRPr="00B24F73" w:rsidRDefault="008B5368" w:rsidP="00DA0AB3">
      <w:pPr>
        <w:pStyle w:val="Akapitzlist"/>
        <w:numPr>
          <w:ilvl w:val="1"/>
          <w:numId w:val="16"/>
        </w:numPr>
        <w:ind w:left="2127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wyniku połączenia, podziału, przekształcenia, upadłości, restrukturyzacji lub nabycia dotychczasowego wykonawcy lub jego przedsiębiorstwa, o ile nowy wykonawca spełnia warunki udziału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postępowaniu o udzielenie zamówienia, nie zachodzą wobec niego podstawy wykluczenia oraz nie pociąga to za sobą innych istotnych zmian umowy,</w:t>
      </w:r>
    </w:p>
    <w:p w14:paraId="38ACB1E4" w14:textId="2CA57BA3" w:rsidR="008B5368" w:rsidRPr="00B24F73" w:rsidRDefault="008B5368" w:rsidP="00DA0AB3">
      <w:pPr>
        <w:pStyle w:val="Akapitzlist"/>
        <w:numPr>
          <w:ilvl w:val="1"/>
          <w:numId w:val="16"/>
        </w:numPr>
        <w:ind w:left="2127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w wyniku przejęcia przez OOW zobowiązań wykonawcy względem jego podwykonawców. W przypadku zmiany podwykonawcy, OOW może zawrzeć umowę z nowym podwykonawcą bez zmiany warunków realizacji zamówienia z uwzględnieniem dokonanych płatności z tytułu dotychczas zrealizowanych prac;</w:t>
      </w:r>
    </w:p>
    <w:p w14:paraId="75C45128" w14:textId="7DBDF5D1" w:rsidR="008B5368" w:rsidRPr="00B24F73" w:rsidRDefault="008B5368" w:rsidP="00DA0AB3">
      <w:pPr>
        <w:pStyle w:val="Akapitzlist"/>
        <w:numPr>
          <w:ilvl w:val="0"/>
          <w:numId w:val="16"/>
        </w:numPr>
        <w:ind w:left="1134"/>
        <w:jc w:val="both"/>
        <w:rPr>
          <w:rFonts w:ascii="Lato" w:hAnsi="Lato"/>
          <w:color w:val="000000" w:themeColor="text1"/>
        </w:rPr>
      </w:pPr>
      <w:r w:rsidRPr="00B24F73">
        <w:rPr>
          <w:rFonts w:ascii="Lato" w:hAnsi="Lato"/>
          <w:color w:val="000000" w:themeColor="text1"/>
        </w:rPr>
        <w:t>zmiana nie prowadzi do zmiany ogólnego charakteru umowy i łączna wartość zamówienia jest mniejsza niż progi unijne oraz jest niższa niż 10% wartości pierwotnej umowy, w przypadku zamówień na usługi lub dostawy, albo 15%, w</w:t>
      </w:r>
      <w:r w:rsidR="003D56F3" w:rsidRPr="00B24F73">
        <w:rPr>
          <w:rFonts w:ascii="Lato" w:hAnsi="Lato"/>
          <w:color w:val="000000" w:themeColor="text1"/>
        </w:rPr>
        <w:t> </w:t>
      </w:r>
      <w:r w:rsidRPr="00B24F73">
        <w:rPr>
          <w:rFonts w:ascii="Lato" w:hAnsi="Lato"/>
          <w:color w:val="000000" w:themeColor="text1"/>
        </w:rPr>
        <w:t>przypadku zamówień na roboty budowlane.</w:t>
      </w:r>
    </w:p>
    <w:sectPr w:rsidR="008B5368" w:rsidRPr="00B24F73" w:rsidSect="00F4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1168" w14:textId="77777777" w:rsidR="00F678EA" w:rsidRDefault="00F678EA" w:rsidP="003A280E">
      <w:pPr>
        <w:spacing w:after="0" w:line="240" w:lineRule="auto"/>
      </w:pPr>
      <w:r>
        <w:separator/>
      </w:r>
    </w:p>
  </w:endnote>
  <w:endnote w:type="continuationSeparator" w:id="0">
    <w:p w14:paraId="61A3A96E" w14:textId="77777777" w:rsidR="00F678EA" w:rsidRDefault="00F678EA" w:rsidP="003A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5EBAF" w14:textId="77777777" w:rsidR="00BD53A9" w:rsidRDefault="00BD53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7372705"/>
      <w:docPartObj>
        <w:docPartGallery w:val="Page Numbers (Bottom of Page)"/>
        <w:docPartUnique/>
      </w:docPartObj>
    </w:sdtPr>
    <w:sdtContent>
      <w:p w14:paraId="5CE963A1" w14:textId="142AA77B" w:rsidR="00BD53A9" w:rsidRDefault="00BD53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1B15F" w14:textId="77777777" w:rsidR="00BD53A9" w:rsidRDefault="00BD53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69907" w14:textId="77777777" w:rsidR="00BD53A9" w:rsidRDefault="00BD5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BB9C" w14:textId="77777777" w:rsidR="00F678EA" w:rsidRDefault="00F678EA" w:rsidP="003A280E">
      <w:pPr>
        <w:spacing w:after="0" w:line="240" w:lineRule="auto"/>
      </w:pPr>
      <w:r>
        <w:separator/>
      </w:r>
    </w:p>
  </w:footnote>
  <w:footnote w:type="continuationSeparator" w:id="0">
    <w:p w14:paraId="76A28403" w14:textId="77777777" w:rsidR="00F678EA" w:rsidRDefault="00F678EA" w:rsidP="003A280E">
      <w:pPr>
        <w:spacing w:after="0" w:line="240" w:lineRule="auto"/>
      </w:pPr>
      <w:r>
        <w:continuationSeparator/>
      </w:r>
    </w:p>
  </w:footnote>
  <w:footnote w:id="1">
    <w:p w14:paraId="29E1A557" w14:textId="15EF26E6" w:rsidR="003D03FB" w:rsidRDefault="003D03FB">
      <w:pPr>
        <w:pStyle w:val="Tekstprzypisudolnego"/>
      </w:pPr>
      <w:r>
        <w:rPr>
          <w:rStyle w:val="Odwoanieprzypisudolnego"/>
        </w:rPr>
        <w:footnoteRef/>
      </w:r>
      <w:r>
        <w:t xml:space="preserve"> Stanowiących załącznik nr 7 do Regulaminu wyboru przedsięwzięcia do objęcia wsparciem / </w:t>
      </w:r>
      <w:r w:rsidR="00C472EB">
        <w:t xml:space="preserve">załącznik nr </w:t>
      </w:r>
      <w:r w:rsidR="007A0BFE">
        <w:t>7</w:t>
      </w:r>
      <w:r w:rsidR="00C472EB">
        <w:t xml:space="preserve"> </w:t>
      </w:r>
      <w:r>
        <w:t xml:space="preserve">do </w:t>
      </w:r>
      <w:bookmarkStart w:id="0" w:name="_Hlk194055770"/>
      <w:r>
        <w:t xml:space="preserve">Umowy </w:t>
      </w:r>
      <w:r w:rsidR="00010803">
        <w:t>o obj</w:t>
      </w:r>
      <w:r w:rsidR="00085977">
        <w:t>ę</w:t>
      </w:r>
      <w:r w:rsidR="00010803">
        <w:t xml:space="preserve">cie wsparciem z planu rozwojowego przedsięwzięcia. </w:t>
      </w:r>
      <w:bookmarkEnd w:id="0"/>
    </w:p>
  </w:footnote>
  <w:footnote w:id="2">
    <w:p w14:paraId="1251A5C8" w14:textId="6A1AC893" w:rsidR="00010803" w:rsidRDefault="000108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20DF">
        <w:t xml:space="preserve">Jeżeli jest </w:t>
      </w:r>
      <w:r w:rsidR="000E702B">
        <w:t>obowiązany</w:t>
      </w:r>
      <w:r w:rsidR="005C20DF">
        <w:t xml:space="preserve"> stosować zasadę konkurencyjności z</w:t>
      </w:r>
      <w:r>
        <w:t xml:space="preserve">godnie z postanowieniami § 2 ust. 10 </w:t>
      </w:r>
      <w:r w:rsidRPr="00010803">
        <w:t>Umowy o obj</w:t>
      </w:r>
      <w:r w:rsidR="00506422">
        <w:t>ę</w:t>
      </w:r>
      <w:r w:rsidRPr="00010803">
        <w:t>cie wsparciem z planu rozwojowego przedsięwzięcia.</w:t>
      </w:r>
    </w:p>
  </w:footnote>
  <w:footnote w:id="3">
    <w:p w14:paraId="4791D9D2" w14:textId="46EE4170" w:rsidR="00E52466" w:rsidRDefault="00E52466">
      <w:pPr>
        <w:pStyle w:val="Tekstprzypisudolnego"/>
      </w:pPr>
      <w:r>
        <w:rPr>
          <w:rStyle w:val="Odwoanieprzypisudolnego"/>
        </w:rPr>
        <w:footnoteRef/>
      </w:r>
      <w:r>
        <w:t xml:space="preserve"> P</w:t>
      </w:r>
      <w:r w:rsidRPr="00E52466">
        <w:t>ortal Baza Konkurencyjności</w:t>
      </w:r>
      <w:r>
        <w:t xml:space="preserve"> jest prowadzony przez Ministerstwo Funduszy i Polityki Regionalnej jako internetowa baza ofert zawierająca ogłoszenia o zamówieniach poza ustawą PZP. Portal jest </w:t>
      </w:r>
      <w:r w:rsidRPr="00E52466">
        <w:t>dostępny pod adresem https://bazakonkurencyjnosci.funduszeeuropejskie.gov.pl/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8FF27" w14:textId="77777777" w:rsidR="00BD53A9" w:rsidRDefault="00BD53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A2B7F" w14:textId="576AFA18" w:rsidR="003A280E" w:rsidRDefault="003A280E">
    <w:pPr>
      <w:pStyle w:val="Nagwek"/>
    </w:pPr>
    <w:r>
      <w:rPr>
        <w:noProof/>
      </w:rPr>
      <w:drawing>
        <wp:inline distT="0" distB="0" distL="0" distR="0" wp14:anchorId="3E093C3E" wp14:editId="6F8EF3AB">
          <wp:extent cx="5760720" cy="572707"/>
          <wp:effectExtent l="0" t="0" r="0" b="0"/>
          <wp:docPr id="128397482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E4BBE" w14:textId="77777777" w:rsidR="00BD53A9" w:rsidRDefault="00BD5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581D"/>
    <w:multiLevelType w:val="hybridMultilevel"/>
    <w:tmpl w:val="1D1040D0"/>
    <w:lvl w:ilvl="0" w:tplc="3EA6BA0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20046"/>
    <w:multiLevelType w:val="hybridMultilevel"/>
    <w:tmpl w:val="005E6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10318C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0AE9"/>
    <w:multiLevelType w:val="hybridMultilevel"/>
    <w:tmpl w:val="DB14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AF116">
      <w:start w:val="1"/>
      <w:numFmt w:val="decimal"/>
      <w:lvlText w:val="%2)"/>
      <w:lvlJc w:val="left"/>
      <w:pPr>
        <w:ind w:left="1495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31CAF"/>
    <w:multiLevelType w:val="hybridMultilevel"/>
    <w:tmpl w:val="3886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A602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E5EA1"/>
    <w:multiLevelType w:val="hybridMultilevel"/>
    <w:tmpl w:val="E1E4AD7C"/>
    <w:lvl w:ilvl="0" w:tplc="5E6A96F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61300"/>
    <w:multiLevelType w:val="hybridMultilevel"/>
    <w:tmpl w:val="D8189CDC"/>
    <w:lvl w:ilvl="0" w:tplc="C262BBD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D56EB12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976E4"/>
    <w:multiLevelType w:val="hybridMultilevel"/>
    <w:tmpl w:val="BFB04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779DD"/>
    <w:multiLevelType w:val="hybridMultilevel"/>
    <w:tmpl w:val="E94A6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3A1A0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D2819"/>
    <w:multiLevelType w:val="hybridMultilevel"/>
    <w:tmpl w:val="0E66A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581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F1FE4"/>
    <w:multiLevelType w:val="hybridMultilevel"/>
    <w:tmpl w:val="6C6A8D6C"/>
    <w:lvl w:ilvl="0" w:tplc="0E181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55290E"/>
    <w:multiLevelType w:val="hybridMultilevel"/>
    <w:tmpl w:val="BBDA45A2"/>
    <w:lvl w:ilvl="0" w:tplc="0B365A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3E8E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B67F1"/>
    <w:multiLevelType w:val="hybridMultilevel"/>
    <w:tmpl w:val="55843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6FE510C">
      <w:start w:val="1"/>
      <w:numFmt w:val="decimal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6BC6FB4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26819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4113F"/>
    <w:multiLevelType w:val="hybridMultilevel"/>
    <w:tmpl w:val="4396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BAEF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1320F"/>
    <w:multiLevelType w:val="hybridMultilevel"/>
    <w:tmpl w:val="C63C9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687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33ECC"/>
    <w:multiLevelType w:val="hybridMultilevel"/>
    <w:tmpl w:val="902C8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6E8C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F5A8E"/>
    <w:multiLevelType w:val="hybridMultilevel"/>
    <w:tmpl w:val="44445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CCAEF8">
      <w:start w:val="1"/>
      <w:numFmt w:val="decimal"/>
      <w:lvlText w:val="%2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2" w:tplc="D75C80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F42EE"/>
    <w:multiLevelType w:val="hybridMultilevel"/>
    <w:tmpl w:val="DB3C12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6207F00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2" w:tplc="1528001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261EB1"/>
    <w:multiLevelType w:val="hybridMultilevel"/>
    <w:tmpl w:val="C05CFA46"/>
    <w:lvl w:ilvl="0" w:tplc="776A8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960135">
    <w:abstractNumId w:val="2"/>
  </w:num>
  <w:num w:numId="2" w16cid:durableId="463931910">
    <w:abstractNumId w:val="13"/>
  </w:num>
  <w:num w:numId="3" w16cid:durableId="2052924363">
    <w:abstractNumId w:val="12"/>
  </w:num>
  <w:num w:numId="4" w16cid:durableId="228465539">
    <w:abstractNumId w:val="0"/>
  </w:num>
  <w:num w:numId="5" w16cid:durableId="1485387987">
    <w:abstractNumId w:val="7"/>
  </w:num>
  <w:num w:numId="6" w16cid:durableId="1106582365">
    <w:abstractNumId w:val="14"/>
  </w:num>
  <w:num w:numId="7" w16cid:durableId="598562707">
    <w:abstractNumId w:val="15"/>
  </w:num>
  <w:num w:numId="8" w16cid:durableId="787427417">
    <w:abstractNumId w:val="8"/>
  </w:num>
  <w:num w:numId="9" w16cid:durableId="1969313170">
    <w:abstractNumId w:val="16"/>
  </w:num>
  <w:num w:numId="10" w16cid:durableId="4330543">
    <w:abstractNumId w:val="1"/>
  </w:num>
  <w:num w:numId="11" w16cid:durableId="1454787286">
    <w:abstractNumId w:val="6"/>
  </w:num>
  <w:num w:numId="12" w16cid:durableId="596789245">
    <w:abstractNumId w:val="3"/>
  </w:num>
  <w:num w:numId="13" w16cid:durableId="1982611495">
    <w:abstractNumId w:val="11"/>
  </w:num>
  <w:num w:numId="14" w16cid:durableId="1119178037">
    <w:abstractNumId w:val="17"/>
  </w:num>
  <w:num w:numId="15" w16cid:durableId="519784956">
    <w:abstractNumId w:val="10"/>
  </w:num>
  <w:num w:numId="16" w16cid:durableId="587085162">
    <w:abstractNumId w:val="5"/>
  </w:num>
  <w:num w:numId="17" w16cid:durableId="1097747911">
    <w:abstractNumId w:val="9"/>
  </w:num>
  <w:num w:numId="18" w16cid:durableId="39632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70"/>
    <w:rsid w:val="00002FF6"/>
    <w:rsid w:val="00004366"/>
    <w:rsid w:val="00006E89"/>
    <w:rsid w:val="000073B8"/>
    <w:rsid w:val="00010803"/>
    <w:rsid w:val="000452B8"/>
    <w:rsid w:val="000531E1"/>
    <w:rsid w:val="00057B94"/>
    <w:rsid w:val="000622EA"/>
    <w:rsid w:val="0006535F"/>
    <w:rsid w:val="00074C27"/>
    <w:rsid w:val="00085977"/>
    <w:rsid w:val="0009184E"/>
    <w:rsid w:val="000973FF"/>
    <w:rsid w:val="000C59BB"/>
    <w:rsid w:val="000E449F"/>
    <w:rsid w:val="000E702B"/>
    <w:rsid w:val="00110C33"/>
    <w:rsid w:val="0012291A"/>
    <w:rsid w:val="00122F1D"/>
    <w:rsid w:val="001306FA"/>
    <w:rsid w:val="001442C4"/>
    <w:rsid w:val="00156B3B"/>
    <w:rsid w:val="001B7B78"/>
    <w:rsid w:val="001C266C"/>
    <w:rsid w:val="001D0159"/>
    <w:rsid w:val="001D1EC7"/>
    <w:rsid w:val="001D3FA8"/>
    <w:rsid w:val="001E2886"/>
    <w:rsid w:val="001E64D6"/>
    <w:rsid w:val="00205A97"/>
    <w:rsid w:val="00206120"/>
    <w:rsid w:val="00220C70"/>
    <w:rsid w:val="0022553D"/>
    <w:rsid w:val="0022742C"/>
    <w:rsid w:val="002339B6"/>
    <w:rsid w:val="002408E1"/>
    <w:rsid w:val="00264BB3"/>
    <w:rsid w:val="00274588"/>
    <w:rsid w:val="00274DAB"/>
    <w:rsid w:val="00285981"/>
    <w:rsid w:val="00285A41"/>
    <w:rsid w:val="002A2F51"/>
    <w:rsid w:val="002A498E"/>
    <w:rsid w:val="002C6C67"/>
    <w:rsid w:val="002D5992"/>
    <w:rsid w:val="002D6CAC"/>
    <w:rsid w:val="002F6C69"/>
    <w:rsid w:val="00303DEC"/>
    <w:rsid w:val="00315B78"/>
    <w:rsid w:val="0032448A"/>
    <w:rsid w:val="00326832"/>
    <w:rsid w:val="0033572B"/>
    <w:rsid w:val="00351277"/>
    <w:rsid w:val="0038057F"/>
    <w:rsid w:val="00391551"/>
    <w:rsid w:val="0039773B"/>
    <w:rsid w:val="003A280E"/>
    <w:rsid w:val="003A5FB0"/>
    <w:rsid w:val="003C599A"/>
    <w:rsid w:val="003C6CFF"/>
    <w:rsid w:val="003D03FB"/>
    <w:rsid w:val="003D0409"/>
    <w:rsid w:val="003D56F3"/>
    <w:rsid w:val="003D64AA"/>
    <w:rsid w:val="003F118C"/>
    <w:rsid w:val="003F1C6C"/>
    <w:rsid w:val="004130F4"/>
    <w:rsid w:val="00434E35"/>
    <w:rsid w:val="00441AF9"/>
    <w:rsid w:val="004469F9"/>
    <w:rsid w:val="004614D4"/>
    <w:rsid w:val="004653D1"/>
    <w:rsid w:val="00490A04"/>
    <w:rsid w:val="004C40BF"/>
    <w:rsid w:val="004D2F22"/>
    <w:rsid w:val="004D34F0"/>
    <w:rsid w:val="004D60F9"/>
    <w:rsid w:val="004E15DC"/>
    <w:rsid w:val="004E3CB6"/>
    <w:rsid w:val="004E7E56"/>
    <w:rsid w:val="004F3BF9"/>
    <w:rsid w:val="004F6E78"/>
    <w:rsid w:val="00501553"/>
    <w:rsid w:val="00506422"/>
    <w:rsid w:val="00526069"/>
    <w:rsid w:val="0053609E"/>
    <w:rsid w:val="00541A03"/>
    <w:rsid w:val="00565863"/>
    <w:rsid w:val="00571044"/>
    <w:rsid w:val="00576C47"/>
    <w:rsid w:val="00580DCE"/>
    <w:rsid w:val="005A0AAD"/>
    <w:rsid w:val="005A1F68"/>
    <w:rsid w:val="005C20DF"/>
    <w:rsid w:val="005C641C"/>
    <w:rsid w:val="005D12B7"/>
    <w:rsid w:val="005D3763"/>
    <w:rsid w:val="005E0CBA"/>
    <w:rsid w:val="005E1C01"/>
    <w:rsid w:val="005F4793"/>
    <w:rsid w:val="00602AD9"/>
    <w:rsid w:val="0060462E"/>
    <w:rsid w:val="006352C9"/>
    <w:rsid w:val="00645EE8"/>
    <w:rsid w:val="00652591"/>
    <w:rsid w:val="006552DE"/>
    <w:rsid w:val="00656F00"/>
    <w:rsid w:val="006601F9"/>
    <w:rsid w:val="00673B4C"/>
    <w:rsid w:val="006A2400"/>
    <w:rsid w:val="006A4B36"/>
    <w:rsid w:val="006C749D"/>
    <w:rsid w:val="006D0858"/>
    <w:rsid w:val="006E135E"/>
    <w:rsid w:val="006F1EC6"/>
    <w:rsid w:val="006F6665"/>
    <w:rsid w:val="00711ED2"/>
    <w:rsid w:val="00714723"/>
    <w:rsid w:val="0071568A"/>
    <w:rsid w:val="007264AD"/>
    <w:rsid w:val="00736948"/>
    <w:rsid w:val="00742070"/>
    <w:rsid w:val="00756A4F"/>
    <w:rsid w:val="00792D16"/>
    <w:rsid w:val="00793BA6"/>
    <w:rsid w:val="00797AA8"/>
    <w:rsid w:val="007A0BFE"/>
    <w:rsid w:val="007E274F"/>
    <w:rsid w:val="007E2986"/>
    <w:rsid w:val="007E33E9"/>
    <w:rsid w:val="007E4267"/>
    <w:rsid w:val="007F5058"/>
    <w:rsid w:val="00817157"/>
    <w:rsid w:val="00820069"/>
    <w:rsid w:val="0082133B"/>
    <w:rsid w:val="00863571"/>
    <w:rsid w:val="00872547"/>
    <w:rsid w:val="00876516"/>
    <w:rsid w:val="008976C6"/>
    <w:rsid w:val="008A0050"/>
    <w:rsid w:val="008A5B15"/>
    <w:rsid w:val="008B23D7"/>
    <w:rsid w:val="008B5368"/>
    <w:rsid w:val="008D2EBF"/>
    <w:rsid w:val="00916F11"/>
    <w:rsid w:val="009212BF"/>
    <w:rsid w:val="00921FCB"/>
    <w:rsid w:val="0092323D"/>
    <w:rsid w:val="0093559F"/>
    <w:rsid w:val="009540F3"/>
    <w:rsid w:val="009624A1"/>
    <w:rsid w:val="009703F2"/>
    <w:rsid w:val="0097303D"/>
    <w:rsid w:val="00973A70"/>
    <w:rsid w:val="00973E65"/>
    <w:rsid w:val="00975722"/>
    <w:rsid w:val="0097683E"/>
    <w:rsid w:val="009A5B1C"/>
    <w:rsid w:val="009B73B0"/>
    <w:rsid w:val="009D39BB"/>
    <w:rsid w:val="009D4322"/>
    <w:rsid w:val="009D67FB"/>
    <w:rsid w:val="009E383E"/>
    <w:rsid w:val="009F474A"/>
    <w:rsid w:val="00A06224"/>
    <w:rsid w:val="00A209CE"/>
    <w:rsid w:val="00A20B6D"/>
    <w:rsid w:val="00A2247D"/>
    <w:rsid w:val="00A361C1"/>
    <w:rsid w:val="00A427F1"/>
    <w:rsid w:val="00A434B0"/>
    <w:rsid w:val="00A76B1F"/>
    <w:rsid w:val="00A80990"/>
    <w:rsid w:val="00A81E1D"/>
    <w:rsid w:val="00A924DC"/>
    <w:rsid w:val="00AA0608"/>
    <w:rsid w:val="00AB5868"/>
    <w:rsid w:val="00AD3243"/>
    <w:rsid w:val="00B24F73"/>
    <w:rsid w:val="00B25A74"/>
    <w:rsid w:val="00B264E2"/>
    <w:rsid w:val="00B33A03"/>
    <w:rsid w:val="00B4118C"/>
    <w:rsid w:val="00B47FA4"/>
    <w:rsid w:val="00B5327A"/>
    <w:rsid w:val="00B53E29"/>
    <w:rsid w:val="00B56FE4"/>
    <w:rsid w:val="00B6469D"/>
    <w:rsid w:val="00B65AB5"/>
    <w:rsid w:val="00B71813"/>
    <w:rsid w:val="00B83486"/>
    <w:rsid w:val="00B93328"/>
    <w:rsid w:val="00B95A50"/>
    <w:rsid w:val="00BC39B0"/>
    <w:rsid w:val="00BD4088"/>
    <w:rsid w:val="00BD53A9"/>
    <w:rsid w:val="00BE09A2"/>
    <w:rsid w:val="00BE4753"/>
    <w:rsid w:val="00BF0EDE"/>
    <w:rsid w:val="00BF5900"/>
    <w:rsid w:val="00C058CD"/>
    <w:rsid w:val="00C14312"/>
    <w:rsid w:val="00C152B4"/>
    <w:rsid w:val="00C472EB"/>
    <w:rsid w:val="00C530E4"/>
    <w:rsid w:val="00C56727"/>
    <w:rsid w:val="00C63356"/>
    <w:rsid w:val="00C8702D"/>
    <w:rsid w:val="00C91B2D"/>
    <w:rsid w:val="00CA3187"/>
    <w:rsid w:val="00CA3890"/>
    <w:rsid w:val="00CA7CB7"/>
    <w:rsid w:val="00CC5346"/>
    <w:rsid w:val="00CC5C86"/>
    <w:rsid w:val="00CD25A5"/>
    <w:rsid w:val="00CD31DA"/>
    <w:rsid w:val="00CE347C"/>
    <w:rsid w:val="00CE374E"/>
    <w:rsid w:val="00CF4974"/>
    <w:rsid w:val="00D15E60"/>
    <w:rsid w:val="00D44171"/>
    <w:rsid w:val="00D511A3"/>
    <w:rsid w:val="00D75D9F"/>
    <w:rsid w:val="00D76B68"/>
    <w:rsid w:val="00DA0AB3"/>
    <w:rsid w:val="00DB6465"/>
    <w:rsid w:val="00DC33D2"/>
    <w:rsid w:val="00E067C7"/>
    <w:rsid w:val="00E20F87"/>
    <w:rsid w:val="00E24A70"/>
    <w:rsid w:val="00E41479"/>
    <w:rsid w:val="00E52466"/>
    <w:rsid w:val="00E54D32"/>
    <w:rsid w:val="00E56DD7"/>
    <w:rsid w:val="00E606F7"/>
    <w:rsid w:val="00E6081E"/>
    <w:rsid w:val="00E646E3"/>
    <w:rsid w:val="00E71D6A"/>
    <w:rsid w:val="00EA3355"/>
    <w:rsid w:val="00ED6D27"/>
    <w:rsid w:val="00ED6F82"/>
    <w:rsid w:val="00EE58FC"/>
    <w:rsid w:val="00EE6FCF"/>
    <w:rsid w:val="00EF01EF"/>
    <w:rsid w:val="00EF3764"/>
    <w:rsid w:val="00EF438D"/>
    <w:rsid w:val="00F10A43"/>
    <w:rsid w:val="00F20693"/>
    <w:rsid w:val="00F31139"/>
    <w:rsid w:val="00F3309D"/>
    <w:rsid w:val="00F42D58"/>
    <w:rsid w:val="00F54795"/>
    <w:rsid w:val="00F555A4"/>
    <w:rsid w:val="00F56C83"/>
    <w:rsid w:val="00F62EE9"/>
    <w:rsid w:val="00F66EC7"/>
    <w:rsid w:val="00F678EA"/>
    <w:rsid w:val="00F825D5"/>
    <w:rsid w:val="00F82FA1"/>
    <w:rsid w:val="00F86AA1"/>
    <w:rsid w:val="00F93303"/>
    <w:rsid w:val="00FB137B"/>
    <w:rsid w:val="00FB3FBE"/>
    <w:rsid w:val="00FE7794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E650"/>
  <w15:chartTrackingRefBased/>
  <w15:docId w15:val="{22025F1B-C9DC-453E-860E-AA770765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C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C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C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C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C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C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C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C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C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C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C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C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C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C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C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C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C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C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C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C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C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C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C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C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C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C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C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C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C70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1D3F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7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7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7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7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7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80E"/>
  </w:style>
  <w:style w:type="paragraph" w:styleId="Stopka">
    <w:name w:val="footer"/>
    <w:basedOn w:val="Normalny"/>
    <w:link w:val="StopkaZnak"/>
    <w:uiPriority w:val="99"/>
    <w:unhideWhenUsed/>
    <w:rsid w:val="003A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80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6B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6B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6B3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4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24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2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CBBC1-7DB9-4293-BCA7-80A26FC1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2969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Pawłowska Agnieszka</cp:lastModifiedBy>
  <cp:revision>11</cp:revision>
  <dcterms:created xsi:type="dcterms:W3CDTF">2025-03-28T10:20:00Z</dcterms:created>
  <dcterms:modified xsi:type="dcterms:W3CDTF">2025-04-10T09:33:00Z</dcterms:modified>
</cp:coreProperties>
</file>